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F7BF0" w14:textId="62CAA9F5" w:rsidR="00B64861" w:rsidRPr="0091412C" w:rsidRDefault="00B64861" w:rsidP="0091412C">
      <w:pPr>
        <w:rPr>
          <w:rFonts w:ascii="Aptos" w:hAnsi="Aptos"/>
          <w:b/>
          <w:bCs/>
          <w:color w:val="C00000"/>
          <w:sz w:val="28"/>
          <w:szCs w:val="28"/>
        </w:rPr>
      </w:pPr>
      <w:r w:rsidRPr="00B64861">
        <w:rPr>
          <w:rFonts w:ascii="Aptos" w:eastAsia="Times New Roman" w:hAnsi="Aptos" w:cs="Times New Roman"/>
          <w:b/>
          <w:bCs/>
          <w:color w:val="C00000"/>
          <w:sz w:val="28"/>
          <w:szCs w:val="28"/>
        </w:rPr>
        <w:t>Resolution F2025.0</w:t>
      </w:r>
      <w:r w:rsidR="0051137B">
        <w:rPr>
          <w:rFonts w:ascii="Aptos" w:eastAsia="Times New Roman" w:hAnsi="Aptos" w:cs="Times New Roman"/>
          <w:b/>
          <w:bCs/>
          <w:color w:val="C00000"/>
          <w:sz w:val="28"/>
          <w:szCs w:val="28"/>
        </w:rPr>
        <w:t>1</w:t>
      </w:r>
      <w:r w:rsidRPr="00B64861">
        <w:rPr>
          <w:rFonts w:ascii="Aptos" w:eastAsia="Times New Roman" w:hAnsi="Aptos" w:cs="Times New Roman"/>
          <w:color w:val="C00000"/>
          <w:sz w:val="28"/>
          <w:szCs w:val="28"/>
        </w:rPr>
        <w:br/>
      </w:r>
      <w:r w:rsidR="0091412C" w:rsidRPr="0091412C">
        <w:rPr>
          <w:rFonts w:ascii="Aptos" w:hAnsi="Aptos"/>
          <w:b/>
          <w:bCs/>
          <w:color w:val="C00000"/>
          <w:sz w:val="28"/>
          <w:szCs w:val="28"/>
        </w:rPr>
        <w:t>Formation of Faculty Taskforce on Grade Change Administrative Regulation</w:t>
      </w:r>
    </w:p>
    <w:p w14:paraId="4E78C61B" w14:textId="76A906CC" w:rsidR="00B64861" w:rsidRPr="00B64861" w:rsidRDefault="00B64861" w:rsidP="00B64861">
      <w:pPr>
        <w:spacing w:before="100" w:beforeAutospacing="1" w:after="100" w:afterAutospacing="1"/>
        <w:rPr>
          <w:rFonts w:ascii="Aptos" w:eastAsia="Times New Roman" w:hAnsi="Aptos" w:cs="Times New Roman"/>
        </w:rPr>
      </w:pPr>
      <w:r w:rsidRPr="00B64861">
        <w:rPr>
          <w:rFonts w:ascii="Aptos" w:eastAsia="Times New Roman" w:hAnsi="Aptos" w:cs="Times New Roman"/>
          <w:b/>
          <w:bCs/>
        </w:rPr>
        <w:t>Moved by:</w:t>
      </w:r>
      <w:r w:rsidRPr="00B64861">
        <w:rPr>
          <w:rFonts w:ascii="Aptos" w:eastAsia="Times New Roman" w:hAnsi="Aptos" w:cs="Times New Roman"/>
        </w:rPr>
        <w:br/>
      </w:r>
      <w:r w:rsidRPr="00B64861">
        <w:rPr>
          <w:rFonts w:ascii="Aptos" w:eastAsia="Times New Roman" w:hAnsi="Aptos" w:cs="Times New Roman"/>
          <w:b/>
          <w:bCs/>
        </w:rPr>
        <w:t>Seconded:</w:t>
      </w:r>
    </w:p>
    <w:p w14:paraId="5D546558" w14:textId="77777777" w:rsidR="00837847" w:rsidRPr="00837847" w:rsidRDefault="00837847" w:rsidP="00837847">
      <w:pPr>
        <w:spacing w:before="100" w:beforeAutospacing="1" w:after="100" w:afterAutospacing="1"/>
        <w:rPr>
          <w:rFonts w:ascii="Aptos" w:eastAsia="Times New Roman" w:hAnsi="Aptos" w:cs="Times New Roman"/>
        </w:rPr>
      </w:pPr>
      <w:r w:rsidRPr="00837847">
        <w:rPr>
          <w:rFonts w:ascii="Aptos" w:eastAsia="Times New Roman" w:hAnsi="Aptos" w:cs="Times New Roman"/>
        </w:rPr>
        <w:t>Whereas Title 5 §53200 assigns to the Academic Senate primary responsibility for academic and professional matters, known as the “10+1”; and</w:t>
      </w:r>
    </w:p>
    <w:p w14:paraId="09C0BDCF" w14:textId="77777777" w:rsidR="00837847" w:rsidRPr="00837847" w:rsidRDefault="00837847" w:rsidP="00837847">
      <w:pPr>
        <w:spacing w:before="100" w:beforeAutospacing="1" w:after="100" w:afterAutospacing="1"/>
        <w:rPr>
          <w:rFonts w:ascii="Aptos" w:eastAsia="Times New Roman" w:hAnsi="Aptos" w:cs="Times New Roman"/>
        </w:rPr>
      </w:pPr>
      <w:r w:rsidRPr="00837847">
        <w:rPr>
          <w:rFonts w:ascii="Aptos" w:eastAsia="Times New Roman" w:hAnsi="Aptos" w:cs="Times New Roman"/>
        </w:rPr>
        <w:t>Whereas among the “10+1,” the Board of Trustees is required to rely primarily upon the advice and judgment of the Academic Senate in matters of curriculum, degree and certificate requirements, grading policies, and standards regarding student preparation and success; and</w:t>
      </w:r>
    </w:p>
    <w:p w14:paraId="423E63B3" w14:textId="77777777" w:rsidR="00837847" w:rsidRPr="00837847" w:rsidRDefault="00837847" w:rsidP="00837847">
      <w:pPr>
        <w:spacing w:before="100" w:beforeAutospacing="1" w:after="100" w:afterAutospacing="1"/>
        <w:rPr>
          <w:rFonts w:ascii="Aptos" w:eastAsia="Times New Roman" w:hAnsi="Aptos" w:cs="Times New Roman"/>
        </w:rPr>
      </w:pPr>
      <w:r w:rsidRPr="00837847">
        <w:rPr>
          <w:rFonts w:ascii="Aptos" w:eastAsia="Times New Roman" w:hAnsi="Aptos" w:cs="Times New Roman"/>
        </w:rPr>
        <w:t>Whereas grade changes are directly tied to grading policies and therefore fall squarely within faculty purview under Title 5; and</w:t>
      </w:r>
    </w:p>
    <w:p w14:paraId="6E839806" w14:textId="77777777" w:rsidR="00837847" w:rsidRPr="00837847" w:rsidRDefault="00837847" w:rsidP="00837847">
      <w:pPr>
        <w:spacing w:before="100" w:beforeAutospacing="1" w:after="100" w:afterAutospacing="1"/>
        <w:rPr>
          <w:rFonts w:ascii="Aptos" w:eastAsia="Times New Roman" w:hAnsi="Aptos" w:cs="Times New Roman"/>
        </w:rPr>
      </w:pPr>
      <w:r w:rsidRPr="00837847">
        <w:rPr>
          <w:rFonts w:ascii="Aptos" w:eastAsia="Times New Roman" w:hAnsi="Aptos" w:cs="Times New Roman"/>
        </w:rPr>
        <w:t>Whereas the development of an Administrative Regulation on grade changes must both preserve faculty authority and ensure compliance with applicable legal requirements;</w:t>
      </w:r>
    </w:p>
    <w:p w14:paraId="496C21C1" w14:textId="77777777" w:rsidR="00837847" w:rsidRPr="00837847" w:rsidRDefault="00837847" w:rsidP="00837847">
      <w:pPr>
        <w:spacing w:before="100" w:beforeAutospacing="1" w:after="100" w:afterAutospacing="1"/>
        <w:rPr>
          <w:rFonts w:ascii="Aptos" w:eastAsia="Times New Roman" w:hAnsi="Aptos" w:cs="Times New Roman"/>
        </w:rPr>
      </w:pPr>
      <w:r w:rsidRPr="00837847">
        <w:rPr>
          <w:rFonts w:ascii="Aptos" w:eastAsia="Times New Roman" w:hAnsi="Aptos" w:cs="Times New Roman"/>
        </w:rPr>
        <w:t>Resolved that, consistent with Title 5 §53200 and the Academic Senate’s primacy in grading policies, a faculty-led taskforce appointed by the Academic Senate be established to draft an Administrative Regulation on grade changes, with the understanding that administrative and governance bodies will be fully engaged through the established review and adoption process; and</w:t>
      </w:r>
    </w:p>
    <w:p w14:paraId="5457C174" w14:textId="77777777" w:rsidR="00837847" w:rsidRPr="00837847" w:rsidRDefault="00837847" w:rsidP="00837847">
      <w:pPr>
        <w:spacing w:before="100" w:beforeAutospacing="1" w:after="100" w:afterAutospacing="1"/>
        <w:rPr>
          <w:rFonts w:ascii="Aptos" w:eastAsia="Times New Roman" w:hAnsi="Aptos" w:cs="Times New Roman"/>
        </w:rPr>
      </w:pPr>
      <w:r w:rsidRPr="00837847">
        <w:rPr>
          <w:rFonts w:ascii="Aptos" w:eastAsia="Times New Roman" w:hAnsi="Aptos" w:cs="Times New Roman"/>
        </w:rPr>
        <w:t>Resolved that the taskforce base its work on the Community College League of California (CCLC) template for grade changes to ensure legal compliance and systemwide consistency; and</w:t>
      </w:r>
    </w:p>
    <w:p w14:paraId="45A55EE6" w14:textId="77777777" w:rsidR="00837847" w:rsidRPr="00837847" w:rsidRDefault="00837847" w:rsidP="00837847">
      <w:pPr>
        <w:spacing w:before="100" w:beforeAutospacing="1" w:after="100" w:afterAutospacing="1"/>
        <w:rPr>
          <w:rFonts w:ascii="Aptos" w:eastAsia="Times New Roman" w:hAnsi="Aptos" w:cs="Times New Roman"/>
        </w:rPr>
      </w:pPr>
      <w:r w:rsidRPr="00837847">
        <w:rPr>
          <w:rFonts w:ascii="Aptos" w:eastAsia="Times New Roman" w:hAnsi="Aptos" w:cs="Times New Roman"/>
        </w:rPr>
        <w:t>Resolved that the draft regulation affirm the primacy of faculty in grading policies while establishing transparent, fair, and consistent procedures for grade change requests, including processes for assigning an Excused Withdrawal (EW) after a grade has been posted; and</w:t>
      </w:r>
    </w:p>
    <w:p w14:paraId="74367CA3" w14:textId="77777777" w:rsidR="00837847" w:rsidRPr="00837847" w:rsidRDefault="00837847" w:rsidP="00837847">
      <w:pPr>
        <w:spacing w:before="100" w:beforeAutospacing="1" w:after="100" w:afterAutospacing="1"/>
        <w:rPr>
          <w:rFonts w:ascii="Aptos" w:eastAsia="Times New Roman" w:hAnsi="Aptos" w:cs="Times New Roman"/>
        </w:rPr>
      </w:pPr>
      <w:r w:rsidRPr="00837847">
        <w:rPr>
          <w:rFonts w:ascii="Aptos" w:eastAsia="Times New Roman" w:hAnsi="Aptos" w:cs="Times New Roman"/>
        </w:rPr>
        <w:t>Resolved that the final draft be submitted to the Academic Senate and subsequently forwarded to the applicable college and district governance bodies for review, feedback, and adoption by the end of the Fall 2025 semester.</w:t>
      </w:r>
    </w:p>
    <w:p w14:paraId="6848EDAB" w14:textId="77777777" w:rsidR="00837847" w:rsidRDefault="0059757E" w:rsidP="0059757E">
      <w:pPr>
        <w:spacing w:before="100" w:beforeAutospacing="1" w:after="100" w:afterAutospacing="1"/>
        <w:rPr>
          <w:rFonts w:ascii="Aptos" w:eastAsia="Times New Roman" w:hAnsi="Aptos" w:cs="Times New Roman"/>
        </w:rPr>
      </w:pPr>
      <w:r>
        <w:rPr>
          <w:rFonts w:ascii="Aptos" w:eastAsia="Times New Roman" w:hAnsi="Aptos" w:cs="Times New Roman"/>
        </w:rPr>
        <w:t>Date Presented:</w:t>
      </w:r>
    </w:p>
    <w:p w14:paraId="1531ED2B" w14:textId="46453682" w:rsidR="0059757E" w:rsidRPr="0059757E" w:rsidRDefault="0059757E" w:rsidP="0059757E">
      <w:pPr>
        <w:spacing w:before="100" w:beforeAutospacing="1" w:after="100" w:afterAutospacing="1"/>
        <w:rPr>
          <w:rFonts w:ascii="Aptos" w:eastAsia="Times New Roman" w:hAnsi="Aptos" w:cs="Times New Roman"/>
        </w:rPr>
      </w:pPr>
      <w:r>
        <w:rPr>
          <w:rFonts w:ascii="Aptos" w:eastAsia="Times New Roman" w:hAnsi="Aptos" w:cs="Times New Roman"/>
        </w:rPr>
        <w:t xml:space="preserve">Date Passed: </w:t>
      </w:r>
    </w:p>
    <w:sectPr w:rsidR="0059757E" w:rsidRPr="0059757E" w:rsidSect="00CC3B6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69B4A" w14:textId="77777777" w:rsidR="00B753EE" w:rsidRDefault="00B753EE" w:rsidP="00541729">
      <w:r>
        <w:separator/>
      </w:r>
    </w:p>
  </w:endnote>
  <w:endnote w:type="continuationSeparator" w:id="0">
    <w:p w14:paraId="2E68A6C9" w14:textId="77777777" w:rsidR="00B753EE" w:rsidRDefault="00B753EE" w:rsidP="00541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eutraface Text Demi">
    <w:altName w:val="Calibri"/>
    <w:panose1 w:val="00000000000000000000"/>
    <w:charset w:val="4D"/>
    <w:family w:val="auto"/>
    <w:notTrueType/>
    <w:pitch w:val="variable"/>
    <w:sig w:usb0="800000AF" w:usb1="5000204A" w:usb2="00000000" w:usb3="00000000" w:csb0="0000009B" w:csb1="00000000"/>
  </w:font>
  <w:font w:name="Neutraface Text Book">
    <w:altName w:val="Calibri"/>
    <w:panose1 w:val="00000000000000000000"/>
    <w:charset w:val="4D"/>
    <w:family w:val="auto"/>
    <w:notTrueType/>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B859D" w14:textId="77777777" w:rsidR="00511080" w:rsidRDefault="00511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D7C55" w14:textId="43BD52A4" w:rsidR="00815279" w:rsidRPr="008567DF" w:rsidRDefault="3EDFCB7D" w:rsidP="008567DF">
    <w:pPr>
      <w:pStyle w:val="Footer"/>
      <w:jc w:val="center"/>
      <w:rPr>
        <w:rFonts w:ascii="Neutraface Text Book" w:hAnsi="Neutraface Text Book"/>
        <w:sz w:val="18"/>
        <w:szCs w:val="18"/>
      </w:rPr>
    </w:pPr>
    <w:r w:rsidRPr="3EDFCB7D">
      <w:rPr>
        <w:rFonts w:ascii="Neutraface Text Demi" w:hAnsi="Neutraface Text Demi"/>
        <w:b/>
        <w:bCs/>
        <w:sz w:val="18"/>
        <w:szCs w:val="18"/>
      </w:rPr>
      <w:t>President,</w:t>
    </w:r>
    <w:r w:rsidRPr="3EDFCB7D">
      <w:rPr>
        <w:rFonts w:ascii="Neutraface Text Book" w:hAnsi="Neutraface Text Book"/>
        <w:sz w:val="18"/>
        <w:szCs w:val="18"/>
      </w:rPr>
      <w:t xml:space="preserve"> Claire M. Coyne  •  </w:t>
    </w:r>
    <w:r w:rsidRPr="3EDFCB7D">
      <w:rPr>
        <w:rFonts w:ascii="Neutraface Text Demi" w:hAnsi="Neutraface Text Demi"/>
        <w:b/>
        <w:bCs/>
        <w:sz w:val="18"/>
        <w:szCs w:val="18"/>
      </w:rPr>
      <w:t>Vice President, Culture &amp; Engagement</w:t>
    </w:r>
    <w:r w:rsidRPr="3EDFCB7D">
      <w:rPr>
        <w:rFonts w:ascii="Neutraface Text Book" w:hAnsi="Neutraface Text Book"/>
        <w:sz w:val="18"/>
        <w:szCs w:val="18"/>
      </w:rPr>
      <w:t>, Maria Aguilar Beltran</w:t>
    </w:r>
  </w:p>
  <w:p w14:paraId="366D3018" w14:textId="746A6901" w:rsidR="3EDFCB7D" w:rsidRDefault="3EDFCB7D" w:rsidP="3EDFCB7D">
    <w:pPr>
      <w:pStyle w:val="Footer"/>
      <w:spacing w:line="259" w:lineRule="auto"/>
      <w:jc w:val="center"/>
      <w:rPr>
        <w:rFonts w:ascii="Neutraface Text Book" w:hAnsi="Neutraface Text Book"/>
        <w:sz w:val="18"/>
        <w:szCs w:val="18"/>
      </w:rPr>
    </w:pPr>
    <w:r w:rsidRPr="3EDFCB7D">
      <w:rPr>
        <w:rFonts w:ascii="Neutraface Text Demi" w:hAnsi="Neutraface Text Demi"/>
        <w:b/>
        <w:bCs/>
        <w:sz w:val="18"/>
        <w:szCs w:val="18"/>
      </w:rPr>
      <w:t>Vice President, Community Operations</w:t>
    </w:r>
    <w:r w:rsidRPr="3EDFCB7D">
      <w:rPr>
        <w:rFonts w:ascii="Neutraface Text Book" w:hAnsi="Neutraface Text Book"/>
        <w:sz w:val="18"/>
        <w:szCs w:val="18"/>
      </w:rPr>
      <w:t xml:space="preserve">, Merari Weber • </w:t>
    </w:r>
    <w:r w:rsidRPr="3EDFCB7D">
      <w:rPr>
        <w:rFonts w:ascii="Neutraface Text Demi" w:hAnsi="Neutraface Text Demi"/>
        <w:b/>
        <w:bCs/>
        <w:sz w:val="18"/>
        <w:szCs w:val="18"/>
      </w:rPr>
      <w:t>Historian,</w:t>
    </w:r>
    <w:r w:rsidRPr="3EDFCB7D">
      <w:rPr>
        <w:rFonts w:ascii="Neutraface Text Book" w:hAnsi="Neutraface Text Book"/>
        <w:sz w:val="18"/>
        <w:szCs w:val="18"/>
      </w:rPr>
      <w:t xml:space="preserve"> Ann Cass</w:t>
    </w:r>
  </w:p>
  <w:p w14:paraId="68D0364A" w14:textId="254D0546" w:rsidR="00DC0D52" w:rsidRPr="008567DF" w:rsidRDefault="3EDFCB7D" w:rsidP="008567DF">
    <w:pPr>
      <w:pStyle w:val="Footer"/>
      <w:jc w:val="center"/>
      <w:rPr>
        <w:rFonts w:ascii="Neutraface Text Book" w:hAnsi="Neutraface Text Book"/>
        <w:sz w:val="18"/>
        <w:szCs w:val="18"/>
      </w:rPr>
    </w:pPr>
    <w:r w:rsidRPr="3EDFCB7D">
      <w:rPr>
        <w:rFonts w:ascii="Times New Roman" w:hAnsi="Times New Roman" w:cs="Times New Roman"/>
        <w:sz w:val="18"/>
        <w:szCs w:val="18"/>
      </w:rPr>
      <w:t>​</w:t>
    </w:r>
    <w:r w:rsidRPr="3EDFCB7D">
      <w:rPr>
        <w:rFonts w:ascii="Neutraface Text Demi" w:hAnsi="Neutraface Text Demi"/>
        <w:b/>
        <w:bCs/>
        <w:sz w:val="18"/>
        <w:szCs w:val="18"/>
      </w:rPr>
      <w:t>Parliamentarian</w:t>
    </w:r>
    <w:r w:rsidRPr="3EDFCB7D">
      <w:rPr>
        <w:rFonts w:ascii="Neutraface Text Book" w:hAnsi="Neutraface Text Book"/>
        <w:sz w:val="18"/>
        <w:szCs w:val="18"/>
      </w:rPr>
      <w:t xml:space="preserve">, </w:t>
    </w:r>
    <w:r w:rsidRPr="3EDFCB7D">
      <w:rPr>
        <w:rFonts w:ascii="Times New Roman" w:hAnsi="Times New Roman" w:cs="Times New Roman"/>
        <w:sz w:val="18"/>
        <w:szCs w:val="18"/>
      </w:rPr>
      <w:t>​</w:t>
    </w:r>
    <w:r w:rsidRPr="3EDFCB7D">
      <w:rPr>
        <w:rFonts w:ascii="Neutraface Text Book" w:hAnsi="Neutraface Text Book"/>
        <w:sz w:val="18"/>
        <w:szCs w:val="18"/>
      </w:rPr>
      <w:t xml:space="preserve">Alejandro Moreno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E74CE" w14:textId="77777777" w:rsidR="00511080" w:rsidRDefault="00511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048F8" w14:textId="77777777" w:rsidR="00B753EE" w:rsidRDefault="00B753EE" w:rsidP="00541729">
      <w:r>
        <w:separator/>
      </w:r>
    </w:p>
  </w:footnote>
  <w:footnote w:type="continuationSeparator" w:id="0">
    <w:p w14:paraId="41220B79" w14:textId="77777777" w:rsidR="00B753EE" w:rsidRDefault="00B753EE" w:rsidP="00541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70C6" w14:textId="77777777" w:rsidR="00511080" w:rsidRDefault="00511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F20E2" w14:textId="5F499BDC" w:rsidR="00541729" w:rsidRDefault="00000000" w:rsidP="001C603D">
    <w:pPr>
      <w:pStyle w:val="Header"/>
      <w:spacing w:after="120"/>
      <w:jc w:val="both"/>
    </w:pPr>
    <w:sdt>
      <w:sdtPr>
        <w:id w:val="1272523299"/>
        <w:docPartObj>
          <w:docPartGallery w:val="Watermarks"/>
          <w:docPartUnique/>
        </w:docPartObj>
      </w:sdtPr>
      <w:sdtContent>
        <w:r>
          <w:rPr>
            <w:noProof/>
          </w:rPr>
          <w:pict w14:anchorId="26FBE4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E440C" w:rsidRPr="00FE440C">
      <w:rPr>
        <w:noProof/>
      </w:rPr>
      <w:drawing>
        <wp:anchor distT="0" distB="0" distL="114300" distR="114300" simplePos="0" relativeHeight="251657216" behindDoc="1" locked="0" layoutInCell="1" allowOverlap="1" wp14:anchorId="059802B7" wp14:editId="4525473D">
          <wp:simplePos x="0" y="0"/>
          <wp:positionH relativeFrom="column">
            <wp:posOffset>-461963</wp:posOffset>
          </wp:positionH>
          <wp:positionV relativeFrom="paragraph">
            <wp:posOffset>-99060</wp:posOffset>
          </wp:positionV>
          <wp:extent cx="6858000" cy="421640"/>
          <wp:effectExtent l="0" t="0" r="0" b="0"/>
          <wp:wrapTight wrapText="bothSides">
            <wp:wrapPolygon edited="0">
              <wp:start x="0" y="0"/>
              <wp:lineTo x="0" y="19518"/>
              <wp:lineTo x="720" y="20494"/>
              <wp:lineTo x="20040" y="20494"/>
              <wp:lineTo x="21240" y="19518"/>
              <wp:lineTo x="21540" y="18542"/>
              <wp:lineTo x="21540" y="2928"/>
              <wp:lineTo x="18180" y="976"/>
              <wp:lineTo x="1080" y="0"/>
              <wp:lineTo x="0" y="0"/>
            </wp:wrapPolygon>
          </wp:wrapTight>
          <wp:docPr id="107388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55883" name=""/>
                  <pic:cNvPicPr/>
                </pic:nvPicPr>
                <pic:blipFill>
                  <a:blip r:embed="rId1"/>
                  <a:stretch>
                    <a:fillRect/>
                  </a:stretch>
                </pic:blipFill>
                <pic:spPr>
                  <a:xfrm>
                    <a:off x="0" y="0"/>
                    <a:ext cx="6858000" cy="421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E4DB9" w14:textId="77777777" w:rsidR="00511080" w:rsidRDefault="0051108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BBAF7"/>
    <w:multiLevelType w:val="hybridMultilevel"/>
    <w:tmpl w:val="AFB0651E"/>
    <w:lvl w:ilvl="0" w:tplc="872AB972">
      <w:start w:val="1"/>
      <w:numFmt w:val="decimal"/>
      <w:lvlText w:val="%1."/>
      <w:lvlJc w:val="left"/>
      <w:pPr>
        <w:ind w:left="720" w:hanging="360"/>
      </w:pPr>
      <w:rPr>
        <w:rFonts w:ascii="Calibri" w:hAnsi="Calibri" w:hint="default"/>
      </w:rPr>
    </w:lvl>
    <w:lvl w:ilvl="1" w:tplc="F376AD14">
      <w:start w:val="1"/>
      <w:numFmt w:val="lowerLetter"/>
      <w:lvlText w:val="%2."/>
      <w:lvlJc w:val="left"/>
      <w:pPr>
        <w:ind w:left="1440" w:hanging="360"/>
      </w:pPr>
    </w:lvl>
    <w:lvl w:ilvl="2" w:tplc="8C2032F2">
      <w:start w:val="1"/>
      <w:numFmt w:val="lowerRoman"/>
      <w:lvlText w:val="%3."/>
      <w:lvlJc w:val="right"/>
      <w:pPr>
        <w:ind w:left="2160" w:hanging="180"/>
      </w:pPr>
    </w:lvl>
    <w:lvl w:ilvl="3" w:tplc="BECC3FA0">
      <w:start w:val="1"/>
      <w:numFmt w:val="decimal"/>
      <w:lvlText w:val="%4."/>
      <w:lvlJc w:val="left"/>
      <w:pPr>
        <w:ind w:left="2880" w:hanging="360"/>
      </w:pPr>
    </w:lvl>
    <w:lvl w:ilvl="4" w:tplc="67940D7E">
      <w:start w:val="1"/>
      <w:numFmt w:val="lowerLetter"/>
      <w:lvlText w:val="%5."/>
      <w:lvlJc w:val="left"/>
      <w:pPr>
        <w:ind w:left="3600" w:hanging="360"/>
      </w:pPr>
    </w:lvl>
    <w:lvl w:ilvl="5" w:tplc="DB0CD8D8">
      <w:start w:val="1"/>
      <w:numFmt w:val="lowerRoman"/>
      <w:lvlText w:val="%6."/>
      <w:lvlJc w:val="right"/>
      <w:pPr>
        <w:ind w:left="4320" w:hanging="180"/>
      </w:pPr>
    </w:lvl>
    <w:lvl w:ilvl="6" w:tplc="5A226602">
      <w:start w:val="1"/>
      <w:numFmt w:val="decimal"/>
      <w:lvlText w:val="%7."/>
      <w:lvlJc w:val="left"/>
      <w:pPr>
        <w:ind w:left="5040" w:hanging="360"/>
      </w:pPr>
    </w:lvl>
    <w:lvl w:ilvl="7" w:tplc="C278E7C2">
      <w:start w:val="1"/>
      <w:numFmt w:val="lowerLetter"/>
      <w:lvlText w:val="%8."/>
      <w:lvlJc w:val="left"/>
      <w:pPr>
        <w:ind w:left="5760" w:hanging="360"/>
      </w:pPr>
    </w:lvl>
    <w:lvl w:ilvl="8" w:tplc="9FEEEE3C">
      <w:start w:val="1"/>
      <w:numFmt w:val="lowerRoman"/>
      <w:lvlText w:val="%9."/>
      <w:lvlJc w:val="right"/>
      <w:pPr>
        <w:ind w:left="6480" w:hanging="180"/>
      </w:pPr>
    </w:lvl>
  </w:abstractNum>
  <w:num w:numId="1" w16cid:durableId="1488784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29"/>
    <w:rsid w:val="00075637"/>
    <w:rsid w:val="00083614"/>
    <w:rsid w:val="00087243"/>
    <w:rsid w:val="0009042D"/>
    <w:rsid w:val="000F0FEA"/>
    <w:rsid w:val="00112631"/>
    <w:rsid w:val="00113F87"/>
    <w:rsid w:val="001173CE"/>
    <w:rsid w:val="0014668A"/>
    <w:rsid w:val="00176D53"/>
    <w:rsid w:val="00194A8C"/>
    <w:rsid w:val="001A4824"/>
    <w:rsid w:val="001C603D"/>
    <w:rsid w:val="001C6349"/>
    <w:rsid w:val="00224C8C"/>
    <w:rsid w:val="00233CA6"/>
    <w:rsid w:val="002602AB"/>
    <w:rsid w:val="00293B69"/>
    <w:rsid w:val="002A1E23"/>
    <w:rsid w:val="002F3B0F"/>
    <w:rsid w:val="003204FB"/>
    <w:rsid w:val="00321C63"/>
    <w:rsid w:val="003367E2"/>
    <w:rsid w:val="00347571"/>
    <w:rsid w:val="00372A77"/>
    <w:rsid w:val="00394E8C"/>
    <w:rsid w:val="003C14A0"/>
    <w:rsid w:val="003C3EB3"/>
    <w:rsid w:val="0040009B"/>
    <w:rsid w:val="00456129"/>
    <w:rsid w:val="00487C6B"/>
    <w:rsid w:val="00492F91"/>
    <w:rsid w:val="00497DB0"/>
    <w:rsid w:val="00511080"/>
    <w:rsid w:val="0051137B"/>
    <w:rsid w:val="00511CD3"/>
    <w:rsid w:val="0052726D"/>
    <w:rsid w:val="00537017"/>
    <w:rsid w:val="00537399"/>
    <w:rsid w:val="00541729"/>
    <w:rsid w:val="00564755"/>
    <w:rsid w:val="00574E90"/>
    <w:rsid w:val="005866F6"/>
    <w:rsid w:val="0059757E"/>
    <w:rsid w:val="005B17E2"/>
    <w:rsid w:val="0063521E"/>
    <w:rsid w:val="00636D0C"/>
    <w:rsid w:val="00650515"/>
    <w:rsid w:val="00681007"/>
    <w:rsid w:val="00694875"/>
    <w:rsid w:val="006A7D9D"/>
    <w:rsid w:val="006D23F4"/>
    <w:rsid w:val="006D4A4D"/>
    <w:rsid w:val="007338C8"/>
    <w:rsid w:val="00774B23"/>
    <w:rsid w:val="007B60F2"/>
    <w:rsid w:val="007F332B"/>
    <w:rsid w:val="00815279"/>
    <w:rsid w:val="00815DAF"/>
    <w:rsid w:val="00837847"/>
    <w:rsid w:val="00846FC7"/>
    <w:rsid w:val="008567DF"/>
    <w:rsid w:val="00883624"/>
    <w:rsid w:val="008A54B5"/>
    <w:rsid w:val="008B4BBE"/>
    <w:rsid w:val="008F3023"/>
    <w:rsid w:val="00901B2F"/>
    <w:rsid w:val="0091412C"/>
    <w:rsid w:val="009246C1"/>
    <w:rsid w:val="0093780E"/>
    <w:rsid w:val="00962F58"/>
    <w:rsid w:val="009771CF"/>
    <w:rsid w:val="0098614A"/>
    <w:rsid w:val="009918AC"/>
    <w:rsid w:val="009D418E"/>
    <w:rsid w:val="009F13F5"/>
    <w:rsid w:val="009F65D6"/>
    <w:rsid w:val="00A00964"/>
    <w:rsid w:val="00A03561"/>
    <w:rsid w:val="00AA0DBE"/>
    <w:rsid w:val="00AE1F5B"/>
    <w:rsid w:val="00AE4E90"/>
    <w:rsid w:val="00B5422F"/>
    <w:rsid w:val="00B56F8B"/>
    <w:rsid w:val="00B64861"/>
    <w:rsid w:val="00B753EE"/>
    <w:rsid w:val="00B858A6"/>
    <w:rsid w:val="00BB237A"/>
    <w:rsid w:val="00BB5917"/>
    <w:rsid w:val="00BB638E"/>
    <w:rsid w:val="00BE4BF2"/>
    <w:rsid w:val="00C121C1"/>
    <w:rsid w:val="00C53EA4"/>
    <w:rsid w:val="00C84281"/>
    <w:rsid w:val="00C84AE6"/>
    <w:rsid w:val="00CB0A5A"/>
    <w:rsid w:val="00CB4FC4"/>
    <w:rsid w:val="00CC3B61"/>
    <w:rsid w:val="00CC71BF"/>
    <w:rsid w:val="00D22ACA"/>
    <w:rsid w:val="00DB559C"/>
    <w:rsid w:val="00DC0D52"/>
    <w:rsid w:val="00DC762A"/>
    <w:rsid w:val="00DD40C1"/>
    <w:rsid w:val="00DE1B21"/>
    <w:rsid w:val="00DF15DE"/>
    <w:rsid w:val="00E01592"/>
    <w:rsid w:val="00E1453B"/>
    <w:rsid w:val="00E3053F"/>
    <w:rsid w:val="00E3361E"/>
    <w:rsid w:val="00E42CF5"/>
    <w:rsid w:val="00E8541E"/>
    <w:rsid w:val="00EB4239"/>
    <w:rsid w:val="00EF38E6"/>
    <w:rsid w:val="00F02374"/>
    <w:rsid w:val="00F348B1"/>
    <w:rsid w:val="00F457EB"/>
    <w:rsid w:val="00F646CB"/>
    <w:rsid w:val="00FD0EF2"/>
    <w:rsid w:val="00FD25CF"/>
    <w:rsid w:val="00FE4395"/>
    <w:rsid w:val="00FE440C"/>
    <w:rsid w:val="028010ED"/>
    <w:rsid w:val="0B156DEB"/>
    <w:rsid w:val="0BDBBE3C"/>
    <w:rsid w:val="0DEF0308"/>
    <w:rsid w:val="10D37A9D"/>
    <w:rsid w:val="10E389D4"/>
    <w:rsid w:val="11D6B8FA"/>
    <w:rsid w:val="1202FF0F"/>
    <w:rsid w:val="15A6CC66"/>
    <w:rsid w:val="1769E056"/>
    <w:rsid w:val="180D5666"/>
    <w:rsid w:val="18D0114C"/>
    <w:rsid w:val="19ADC00D"/>
    <w:rsid w:val="1BF32374"/>
    <w:rsid w:val="1C6B08AB"/>
    <w:rsid w:val="22BACF55"/>
    <w:rsid w:val="252AD657"/>
    <w:rsid w:val="25D1C030"/>
    <w:rsid w:val="26593BA0"/>
    <w:rsid w:val="26A76DC7"/>
    <w:rsid w:val="2A5E880F"/>
    <w:rsid w:val="2A8FD164"/>
    <w:rsid w:val="30C30E6B"/>
    <w:rsid w:val="3165F3B2"/>
    <w:rsid w:val="39E18D26"/>
    <w:rsid w:val="3A4759AB"/>
    <w:rsid w:val="3EB98124"/>
    <w:rsid w:val="3EDFCB7D"/>
    <w:rsid w:val="44F321F3"/>
    <w:rsid w:val="45F5B7F6"/>
    <w:rsid w:val="484A17F1"/>
    <w:rsid w:val="4A5F7615"/>
    <w:rsid w:val="4A782DAD"/>
    <w:rsid w:val="4B726467"/>
    <w:rsid w:val="4C61410F"/>
    <w:rsid w:val="4D57C70F"/>
    <w:rsid w:val="5146AFD7"/>
    <w:rsid w:val="5307C4CD"/>
    <w:rsid w:val="53DD9384"/>
    <w:rsid w:val="54682901"/>
    <w:rsid w:val="55E62D89"/>
    <w:rsid w:val="5E298C0B"/>
    <w:rsid w:val="5F204D53"/>
    <w:rsid w:val="5F646BA3"/>
    <w:rsid w:val="609D7CC4"/>
    <w:rsid w:val="62A90B6E"/>
    <w:rsid w:val="64D13D05"/>
    <w:rsid w:val="6BDB731B"/>
    <w:rsid w:val="6DD3E9E8"/>
    <w:rsid w:val="71E3BFDE"/>
    <w:rsid w:val="73BF76C2"/>
    <w:rsid w:val="760BF264"/>
    <w:rsid w:val="77268FC7"/>
    <w:rsid w:val="786FD32C"/>
    <w:rsid w:val="78C0E67B"/>
    <w:rsid w:val="79E47A3D"/>
    <w:rsid w:val="7A4C75DA"/>
    <w:rsid w:val="7B204EF5"/>
    <w:rsid w:val="7BCBD5DD"/>
    <w:rsid w:val="7C52DAD5"/>
    <w:rsid w:val="7E8178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0483B"/>
  <w15:chartTrackingRefBased/>
  <w15:docId w15:val="{EC0D0EC7-B947-C74B-90E2-98219385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729"/>
    <w:pPr>
      <w:tabs>
        <w:tab w:val="center" w:pos="4680"/>
        <w:tab w:val="right" w:pos="9360"/>
      </w:tabs>
    </w:pPr>
  </w:style>
  <w:style w:type="character" w:customStyle="1" w:styleId="HeaderChar">
    <w:name w:val="Header Char"/>
    <w:basedOn w:val="DefaultParagraphFont"/>
    <w:link w:val="Header"/>
    <w:uiPriority w:val="99"/>
    <w:rsid w:val="00541729"/>
  </w:style>
  <w:style w:type="paragraph" w:styleId="Footer">
    <w:name w:val="footer"/>
    <w:basedOn w:val="Normal"/>
    <w:link w:val="FooterChar"/>
    <w:uiPriority w:val="99"/>
    <w:unhideWhenUsed/>
    <w:rsid w:val="00541729"/>
    <w:pPr>
      <w:tabs>
        <w:tab w:val="center" w:pos="4680"/>
        <w:tab w:val="right" w:pos="9360"/>
      </w:tabs>
    </w:pPr>
  </w:style>
  <w:style w:type="character" w:customStyle="1" w:styleId="FooterChar">
    <w:name w:val="Footer Char"/>
    <w:basedOn w:val="DefaultParagraphFont"/>
    <w:link w:val="Footer"/>
    <w:uiPriority w:val="99"/>
    <w:rsid w:val="00541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4960">
      <w:bodyDiv w:val="1"/>
      <w:marLeft w:val="0"/>
      <w:marRight w:val="0"/>
      <w:marTop w:val="0"/>
      <w:marBottom w:val="0"/>
      <w:divBdr>
        <w:top w:val="none" w:sz="0" w:space="0" w:color="auto"/>
        <w:left w:val="none" w:sz="0" w:space="0" w:color="auto"/>
        <w:bottom w:val="none" w:sz="0" w:space="0" w:color="auto"/>
        <w:right w:val="none" w:sz="0" w:space="0" w:color="auto"/>
      </w:divBdr>
    </w:div>
    <w:div w:id="151333062">
      <w:bodyDiv w:val="1"/>
      <w:marLeft w:val="0"/>
      <w:marRight w:val="0"/>
      <w:marTop w:val="0"/>
      <w:marBottom w:val="0"/>
      <w:divBdr>
        <w:top w:val="none" w:sz="0" w:space="0" w:color="auto"/>
        <w:left w:val="none" w:sz="0" w:space="0" w:color="auto"/>
        <w:bottom w:val="none" w:sz="0" w:space="0" w:color="auto"/>
        <w:right w:val="none" w:sz="0" w:space="0" w:color="auto"/>
      </w:divBdr>
    </w:div>
    <w:div w:id="527573196">
      <w:bodyDiv w:val="1"/>
      <w:marLeft w:val="0"/>
      <w:marRight w:val="0"/>
      <w:marTop w:val="0"/>
      <w:marBottom w:val="0"/>
      <w:divBdr>
        <w:top w:val="none" w:sz="0" w:space="0" w:color="auto"/>
        <w:left w:val="none" w:sz="0" w:space="0" w:color="auto"/>
        <w:bottom w:val="none" w:sz="0" w:space="0" w:color="auto"/>
        <w:right w:val="none" w:sz="0" w:space="0" w:color="auto"/>
      </w:divBdr>
    </w:div>
    <w:div w:id="1378622953">
      <w:bodyDiv w:val="1"/>
      <w:marLeft w:val="0"/>
      <w:marRight w:val="0"/>
      <w:marTop w:val="0"/>
      <w:marBottom w:val="0"/>
      <w:divBdr>
        <w:top w:val="none" w:sz="0" w:space="0" w:color="auto"/>
        <w:left w:val="none" w:sz="0" w:space="0" w:color="auto"/>
        <w:bottom w:val="none" w:sz="0" w:space="0" w:color="auto"/>
        <w:right w:val="none" w:sz="0" w:space="0" w:color="auto"/>
      </w:divBdr>
    </w:div>
    <w:div w:id="1843231581">
      <w:bodyDiv w:val="1"/>
      <w:marLeft w:val="0"/>
      <w:marRight w:val="0"/>
      <w:marTop w:val="0"/>
      <w:marBottom w:val="0"/>
      <w:divBdr>
        <w:top w:val="none" w:sz="0" w:space="0" w:color="auto"/>
        <w:left w:val="none" w:sz="0" w:space="0" w:color="auto"/>
        <w:bottom w:val="none" w:sz="0" w:space="0" w:color="auto"/>
        <w:right w:val="none" w:sz="0" w:space="0" w:color="auto"/>
      </w:divBdr>
    </w:div>
    <w:div w:id="19655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HNYXMCCMVK3K-464-1244</_dlc_DocId>
    <_dlc_DocIdUrl xmlns="431189f8-a51b-453f-9f0c-3a0b3b65b12f">
      <Url>https://sac.edu/President/AcademicSenate/_layouts/15/DocIdRedir.aspx?ID=HNYXMCCMVK3K-464-1244</Url>
      <Description>HNYXMCCMVK3K-464-1244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DA2522B-AD22-42EB-BFD4-DA9FB694E5FA}"/>
</file>

<file path=customXml/itemProps2.xml><?xml version="1.0" encoding="utf-8"?>
<ds:datastoreItem xmlns:ds="http://schemas.openxmlformats.org/officeDocument/2006/customXml" ds:itemID="{D04D7D9A-D669-482B-838E-7C2C89029CF4}">
  <ds:schemaRefs>
    <ds:schemaRef ds:uri="http://schemas.microsoft.com/office/2006/metadata/properties"/>
    <ds:schemaRef ds:uri="http://schemas.microsoft.com/office/infopath/2007/PartnerControls"/>
    <ds:schemaRef ds:uri="1acb9adc-ec33-475f-8130-c1c307b91901"/>
    <ds:schemaRef ds:uri="12292255-f18b-4d92-9e60-ebc7b63bbd6b"/>
  </ds:schemaRefs>
</ds:datastoreItem>
</file>

<file path=customXml/itemProps3.xml><?xml version="1.0" encoding="utf-8"?>
<ds:datastoreItem xmlns:ds="http://schemas.openxmlformats.org/officeDocument/2006/customXml" ds:itemID="{674B5412-91D6-458F-8C01-D77D7B555256}">
  <ds:schemaRefs>
    <ds:schemaRef ds:uri="http://schemas.microsoft.com/sharepoint/v3/contenttype/forms"/>
  </ds:schemaRefs>
</ds:datastoreItem>
</file>

<file path=customXml/itemProps4.xml><?xml version="1.0" encoding="utf-8"?>
<ds:datastoreItem xmlns:ds="http://schemas.openxmlformats.org/officeDocument/2006/customXml" ds:itemID="{8421197D-DC83-44D9-97E9-C8FD8A6A1E19}"/>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1619</Characters>
  <Application>Microsoft Office Word</Application>
  <DocSecurity>0</DocSecurity>
  <Lines>13</Lines>
  <Paragraphs>3</Paragraphs>
  <ScaleCrop>false</ScaleCrop>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Ghiat, Mehdi</dc:creator>
  <cp:keywords/>
  <dc:description/>
  <cp:lastModifiedBy>Claire Coyne</cp:lastModifiedBy>
  <cp:revision>5</cp:revision>
  <dcterms:created xsi:type="dcterms:W3CDTF">2025-09-05T00:59:00Z</dcterms:created>
  <dcterms:modified xsi:type="dcterms:W3CDTF">2025-09-05T01:00:00Z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MediaServiceImageTags">
    <vt:lpwstr/>
  </property>
  <property fmtid="{D5CDD505-2E9C-101B-9397-08002B2CF9AE}" pid="4" name="_dlc_DocIdItemGuid">
    <vt:lpwstr>2f032755-c1f1-4747-b632-99abb78923b1</vt:lpwstr>
  </property>
</Properties>
</file>