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3D8" w14:textId="547CCEBC" w:rsidR="54682901"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Resolution S2025.</w:t>
      </w:r>
      <w:r w:rsidR="001C513C">
        <w:rPr>
          <w:rFonts w:eastAsia="Aptos" w:cstheme="minorHAnsi"/>
          <w:b/>
          <w:bCs/>
          <w:color w:val="C00000"/>
          <w:sz w:val="28"/>
          <w:szCs w:val="28"/>
        </w:rPr>
        <w:t>11</w:t>
      </w:r>
      <w:r w:rsidR="007740A3">
        <w:rPr>
          <w:rFonts w:eastAsia="Aptos" w:cstheme="minorHAnsi"/>
          <w:b/>
          <w:bCs/>
          <w:color w:val="C00000"/>
          <w:sz w:val="28"/>
          <w:szCs w:val="28"/>
        </w:rPr>
        <w:tab/>
      </w:r>
    </w:p>
    <w:p w14:paraId="3D276E6C" w14:textId="5BC6A233" w:rsidR="001C513C" w:rsidRDefault="001C513C" w:rsidP="001C513C">
      <w:pPr>
        <w:rPr>
          <w:rFonts w:eastAsia="Aptos" w:cstheme="minorHAnsi"/>
          <w:b/>
          <w:bCs/>
        </w:rPr>
      </w:pPr>
      <w:r>
        <w:rPr>
          <w:rFonts w:eastAsia="Aptos" w:cstheme="minorHAnsi"/>
          <w:b/>
          <w:bCs/>
          <w:color w:val="C00000"/>
          <w:sz w:val="28"/>
          <w:szCs w:val="28"/>
        </w:rPr>
        <w:t>Endorse an u</w:t>
      </w:r>
      <w:r w:rsidRPr="001C513C">
        <w:rPr>
          <w:rFonts w:eastAsia="Aptos" w:cstheme="minorHAnsi"/>
          <w:b/>
          <w:bCs/>
          <w:color w:val="C00000"/>
          <w:sz w:val="28"/>
          <w:szCs w:val="28"/>
        </w:rPr>
        <w:t>pdate</w:t>
      </w:r>
      <w:r>
        <w:rPr>
          <w:rFonts w:eastAsia="Aptos" w:cstheme="minorHAnsi"/>
          <w:b/>
          <w:bCs/>
          <w:color w:val="C00000"/>
          <w:sz w:val="28"/>
          <w:szCs w:val="28"/>
        </w:rPr>
        <w:t xml:space="preserve"> to</w:t>
      </w:r>
      <w:r w:rsidRPr="001C513C">
        <w:rPr>
          <w:rFonts w:eastAsia="Aptos" w:cstheme="minorHAnsi"/>
          <w:b/>
          <w:bCs/>
          <w:color w:val="C00000"/>
          <w:sz w:val="28"/>
          <w:szCs w:val="28"/>
        </w:rPr>
        <w:t xml:space="preserve"> SAC College Council Faculty Representation</w:t>
      </w:r>
      <w:r w:rsidRPr="001C513C">
        <w:rPr>
          <w:rFonts w:eastAsia="Aptos" w:cstheme="minorHAnsi"/>
          <w:b/>
          <w:bCs/>
          <w:color w:val="C00000"/>
          <w:sz w:val="28"/>
          <w:szCs w:val="28"/>
        </w:rPr>
        <w:tab/>
      </w:r>
    </w:p>
    <w:p w14:paraId="0C0058D4" w14:textId="77777777" w:rsidR="001C513C" w:rsidRDefault="001C513C" w:rsidP="54682901">
      <w:pPr>
        <w:rPr>
          <w:rFonts w:eastAsia="Aptos" w:cstheme="minorHAnsi"/>
          <w:b/>
          <w:bCs/>
        </w:rPr>
      </w:pPr>
    </w:p>
    <w:p w14:paraId="39783FF8" w14:textId="3E2E29A4" w:rsidR="00C348B8" w:rsidRPr="00C348B8" w:rsidRDefault="00C348B8" w:rsidP="54682901">
      <w:pPr>
        <w:rPr>
          <w:rFonts w:eastAsia="Aptos" w:cstheme="minorHAnsi"/>
          <w:b/>
          <w:bCs/>
        </w:rPr>
      </w:pPr>
      <w:r w:rsidRPr="00C348B8">
        <w:rPr>
          <w:rFonts w:eastAsia="Aptos" w:cstheme="minorHAnsi"/>
          <w:b/>
          <w:bCs/>
        </w:rPr>
        <w:t>Moved:</w:t>
      </w:r>
    </w:p>
    <w:p w14:paraId="7EEBA09E" w14:textId="3A178D16" w:rsidR="00C348B8" w:rsidRDefault="00C348B8" w:rsidP="54682901">
      <w:pPr>
        <w:rPr>
          <w:rFonts w:eastAsia="Aptos" w:cstheme="minorHAnsi"/>
          <w:b/>
          <w:bCs/>
        </w:rPr>
      </w:pPr>
      <w:proofErr w:type="gramStart"/>
      <w:r w:rsidRPr="00C348B8">
        <w:rPr>
          <w:rFonts w:eastAsia="Aptos" w:cstheme="minorHAnsi"/>
          <w:b/>
          <w:bCs/>
        </w:rPr>
        <w:t>Seconded</w:t>
      </w:r>
      <w:proofErr w:type="gramEnd"/>
      <w:r w:rsidRPr="00C348B8">
        <w:rPr>
          <w:rFonts w:eastAsia="Aptos" w:cstheme="minorHAnsi"/>
          <w:b/>
          <w:bCs/>
        </w:rPr>
        <w:t xml:space="preserve">: </w:t>
      </w:r>
    </w:p>
    <w:p w14:paraId="0A8BB57D" w14:textId="77777777" w:rsidR="00835F0B" w:rsidRDefault="00835F0B" w:rsidP="00835F0B">
      <w:pPr>
        <w:rPr>
          <w:rFonts w:eastAsia="Times New Roman" w:cstheme="minorHAnsi"/>
          <w:b/>
          <w:bCs/>
        </w:rPr>
      </w:pPr>
    </w:p>
    <w:p w14:paraId="0E311A8E" w14:textId="77777777" w:rsidR="001C513C" w:rsidRDefault="001C513C" w:rsidP="001C513C">
      <w:pPr>
        <w:rPr>
          <w:rFonts w:eastAsia="Times New Roman" w:cstheme="minorHAnsi"/>
        </w:rPr>
      </w:pPr>
      <w:r w:rsidRPr="001C513C">
        <w:rPr>
          <w:rFonts w:eastAsia="Times New Roman" w:cstheme="minorHAnsi"/>
        </w:rPr>
        <w:t>Whereas, shared governance is foundational to the effective and equitable operation of community colleges, ensuring that all constituencies have a voice in institutional decision-making; and</w:t>
      </w:r>
    </w:p>
    <w:p w14:paraId="7296B62E" w14:textId="77777777" w:rsidR="001C513C" w:rsidRPr="001C513C" w:rsidRDefault="001C513C" w:rsidP="001C513C">
      <w:pPr>
        <w:rPr>
          <w:rFonts w:eastAsia="Times New Roman" w:cstheme="minorHAnsi"/>
        </w:rPr>
      </w:pPr>
    </w:p>
    <w:p w14:paraId="10E366DE" w14:textId="7B5F8C5B" w:rsidR="001C513C" w:rsidRPr="001C513C" w:rsidRDefault="001C513C" w:rsidP="001C513C">
      <w:pPr>
        <w:rPr>
          <w:rFonts w:eastAsia="Times New Roman" w:cstheme="minorHAnsi"/>
        </w:rPr>
      </w:pPr>
      <w:r w:rsidRPr="001C513C">
        <w:rPr>
          <w:rFonts w:eastAsia="Times New Roman" w:cstheme="minorHAnsi"/>
        </w:rPr>
        <w:t xml:space="preserve">Whereas, the current SAC College Council structure reflects an imbalance in constituent group representation, with only three faculty representatives compared to six administrators and limited classified and student participation, underscoring the need for a more equitable distribution of voices in </w:t>
      </w:r>
      <w:proofErr w:type="gramStart"/>
      <w:r w:rsidRPr="001C513C">
        <w:rPr>
          <w:rFonts w:eastAsia="Times New Roman" w:cstheme="minorHAnsi"/>
        </w:rPr>
        <w:t>governance;</w:t>
      </w:r>
      <w:proofErr w:type="gramEnd"/>
    </w:p>
    <w:p w14:paraId="15BD4749" w14:textId="77777777" w:rsidR="001C513C" w:rsidRDefault="001C513C" w:rsidP="001C513C">
      <w:pPr>
        <w:rPr>
          <w:rFonts w:eastAsia="Times New Roman" w:cstheme="minorHAnsi"/>
        </w:rPr>
      </w:pPr>
    </w:p>
    <w:p w14:paraId="6A905726" w14:textId="77777777" w:rsidR="001C513C" w:rsidRPr="001C513C" w:rsidRDefault="001C513C" w:rsidP="001C513C">
      <w:pPr>
        <w:rPr>
          <w:rFonts w:eastAsia="Times New Roman" w:cstheme="minorHAnsi"/>
        </w:rPr>
      </w:pPr>
      <w:proofErr w:type="gramStart"/>
      <w:r w:rsidRPr="001C513C">
        <w:rPr>
          <w:rFonts w:eastAsia="Times New Roman" w:cstheme="minorHAnsi"/>
        </w:rPr>
        <w:t>Whereas,</w:t>
      </w:r>
      <w:proofErr w:type="gramEnd"/>
      <w:r w:rsidRPr="001C513C">
        <w:rPr>
          <w:rFonts w:eastAsia="Times New Roman" w:cstheme="minorHAnsi"/>
        </w:rPr>
        <w:t xml:space="preserve"> faculty play a critical role in the core academic functions of the college and their representation should reflect the diverse instructional and service areas of the institution; and</w:t>
      </w:r>
    </w:p>
    <w:p w14:paraId="3E6C4A9C" w14:textId="77777777" w:rsidR="001C513C" w:rsidRPr="001C513C" w:rsidRDefault="001C513C" w:rsidP="001C513C">
      <w:pPr>
        <w:rPr>
          <w:rFonts w:eastAsia="Times New Roman" w:cstheme="minorHAnsi"/>
        </w:rPr>
      </w:pPr>
    </w:p>
    <w:p w14:paraId="79A17518" w14:textId="77777777" w:rsidR="001C513C" w:rsidRPr="001C513C" w:rsidRDefault="001C513C" w:rsidP="001C513C">
      <w:pPr>
        <w:rPr>
          <w:rFonts w:eastAsia="Times New Roman" w:cstheme="minorHAnsi"/>
        </w:rPr>
      </w:pPr>
      <w:r w:rsidRPr="001C513C">
        <w:rPr>
          <w:rFonts w:eastAsia="Times New Roman" w:cstheme="minorHAnsi"/>
        </w:rPr>
        <w:t xml:space="preserve">Whereas, increasing faculty representation to four members—specifically including representation from Academic Affairs, Continuing Education, and Student Services—supports inclusivity and strengthens governance through diverse academic </w:t>
      </w:r>
      <w:proofErr w:type="gramStart"/>
      <w:r w:rsidRPr="001C513C">
        <w:rPr>
          <w:rFonts w:eastAsia="Times New Roman" w:cstheme="minorHAnsi"/>
        </w:rPr>
        <w:t>perspectives;</w:t>
      </w:r>
      <w:proofErr w:type="gramEnd"/>
    </w:p>
    <w:p w14:paraId="036840F2" w14:textId="77777777" w:rsidR="001C513C" w:rsidRPr="001C513C" w:rsidRDefault="001C513C" w:rsidP="001C513C">
      <w:pPr>
        <w:rPr>
          <w:rFonts w:eastAsia="Times New Roman" w:cstheme="minorHAnsi"/>
        </w:rPr>
      </w:pPr>
    </w:p>
    <w:p w14:paraId="421615A6" w14:textId="5B771B89" w:rsidR="001C513C" w:rsidRPr="001C513C" w:rsidRDefault="001C513C" w:rsidP="001C513C">
      <w:pPr>
        <w:rPr>
          <w:rFonts w:eastAsia="Times New Roman" w:cstheme="minorHAnsi"/>
        </w:rPr>
      </w:pPr>
      <w:r w:rsidRPr="001C513C">
        <w:rPr>
          <w:rFonts w:eastAsia="Times New Roman" w:cstheme="minorHAnsi"/>
        </w:rPr>
        <w:t xml:space="preserve">Therefore, be it </w:t>
      </w:r>
      <w:proofErr w:type="gramStart"/>
      <w:r w:rsidRPr="001C513C">
        <w:rPr>
          <w:rFonts w:eastAsia="Times New Roman" w:cstheme="minorHAnsi"/>
        </w:rPr>
        <w:t>resolved, that</w:t>
      </w:r>
      <w:proofErr w:type="gramEnd"/>
      <w:r w:rsidRPr="001C513C">
        <w:rPr>
          <w:rFonts w:eastAsia="Times New Roman" w:cstheme="minorHAnsi"/>
        </w:rPr>
        <w:t xml:space="preserve"> the SAC College Council supports increasing faculty membership from three to four representatives; and</w:t>
      </w:r>
    </w:p>
    <w:p w14:paraId="26E00F86" w14:textId="77777777" w:rsidR="001C513C" w:rsidRPr="001C513C" w:rsidRDefault="001C513C" w:rsidP="001C513C">
      <w:pPr>
        <w:rPr>
          <w:rFonts w:eastAsia="Times New Roman" w:cstheme="minorHAnsi"/>
        </w:rPr>
      </w:pPr>
    </w:p>
    <w:p w14:paraId="64496BED" w14:textId="51904626" w:rsidR="001C513C" w:rsidRPr="001C513C" w:rsidRDefault="001C513C" w:rsidP="001C513C">
      <w:pPr>
        <w:rPr>
          <w:rFonts w:eastAsia="Times New Roman" w:cstheme="minorHAnsi"/>
        </w:rPr>
      </w:pPr>
      <w:r w:rsidRPr="001C513C">
        <w:rPr>
          <w:rFonts w:eastAsia="Times New Roman" w:cstheme="minorHAnsi"/>
        </w:rPr>
        <w:t xml:space="preserve">Be it </w:t>
      </w:r>
      <w:proofErr w:type="gramStart"/>
      <w:r w:rsidRPr="001C513C">
        <w:rPr>
          <w:rFonts w:eastAsia="Times New Roman" w:cstheme="minorHAnsi"/>
        </w:rPr>
        <w:t>further resolved,</w:t>
      </w:r>
      <w:proofErr w:type="gramEnd"/>
      <w:r w:rsidRPr="001C513C">
        <w:rPr>
          <w:rFonts w:eastAsia="Times New Roman" w:cstheme="minorHAnsi"/>
        </w:rPr>
        <w:t xml:space="preserve"> that this updated representation includes one faculty representative each from Academic Affairs, Continuing Education, and Student Services, in addition to the Academic Senate President; and</w:t>
      </w:r>
    </w:p>
    <w:p w14:paraId="7A6A287F" w14:textId="77777777" w:rsidR="001C513C" w:rsidRPr="001C513C" w:rsidRDefault="001C513C" w:rsidP="001C513C">
      <w:pPr>
        <w:rPr>
          <w:rFonts w:eastAsia="Times New Roman" w:cstheme="minorHAnsi"/>
        </w:rPr>
      </w:pPr>
    </w:p>
    <w:p w14:paraId="6FBE4F24" w14:textId="7CC05AD9" w:rsidR="001C513C" w:rsidRPr="001C513C" w:rsidRDefault="001C513C" w:rsidP="001C513C">
      <w:pPr>
        <w:rPr>
          <w:rFonts w:eastAsia="Times New Roman" w:cstheme="minorHAnsi"/>
        </w:rPr>
      </w:pPr>
      <w:r w:rsidRPr="001C513C">
        <w:rPr>
          <w:rFonts w:eastAsia="Times New Roman" w:cstheme="minorHAnsi"/>
        </w:rPr>
        <w:t xml:space="preserve">Be it </w:t>
      </w:r>
      <w:proofErr w:type="gramStart"/>
      <w:r w:rsidRPr="001C513C">
        <w:rPr>
          <w:rFonts w:eastAsia="Times New Roman" w:cstheme="minorHAnsi"/>
        </w:rPr>
        <w:t>further resolved,</w:t>
      </w:r>
      <w:proofErr w:type="gramEnd"/>
      <w:r w:rsidRPr="001C513C">
        <w:rPr>
          <w:rFonts w:eastAsia="Times New Roman" w:cstheme="minorHAnsi"/>
        </w:rPr>
        <w:t xml:space="preserve"> that this change aligns with SAC’s commitment to equity, inclusiveness, and balanced governance practices; and</w:t>
      </w:r>
    </w:p>
    <w:p w14:paraId="402BEC77" w14:textId="77777777" w:rsidR="001C513C" w:rsidRDefault="001C513C" w:rsidP="00C348B8">
      <w:pPr>
        <w:rPr>
          <w:rFonts w:eastAsia="Times New Roman" w:cstheme="minorHAnsi"/>
        </w:rPr>
      </w:pPr>
    </w:p>
    <w:p w14:paraId="3459946B" w14:textId="79580104" w:rsidR="00835F0B" w:rsidRPr="001C513C" w:rsidRDefault="001C513C" w:rsidP="00C348B8">
      <w:r w:rsidRPr="001C513C">
        <w:rPr>
          <w:rFonts w:eastAsia="Times New Roman" w:cstheme="minorHAnsi"/>
        </w:rPr>
        <w:t xml:space="preserve">Be it </w:t>
      </w:r>
      <w:proofErr w:type="gramStart"/>
      <w:r w:rsidRPr="001C513C">
        <w:rPr>
          <w:rFonts w:eastAsia="Times New Roman" w:cstheme="minorHAnsi"/>
        </w:rPr>
        <w:t>finally resolved,</w:t>
      </w:r>
      <w:proofErr w:type="gramEnd"/>
      <w:r w:rsidRPr="001C513C">
        <w:rPr>
          <w:rFonts w:eastAsia="Times New Roman" w:cstheme="minorHAnsi"/>
        </w:rPr>
        <w:t xml:space="preserve"> that this recommendation be forwarded to SAC’s College Council for formal adoption and implementation in the 2025–2026 academic year, and that upon approval, the updated council composition be reflected in the Participatory Governance Handbook to ensure consistency, transparency, and institutional alignment.</w:t>
      </w:r>
    </w:p>
    <w:p w14:paraId="6765DD85" w14:textId="77777777" w:rsidR="001C513C" w:rsidRDefault="001C513C" w:rsidP="00C348B8">
      <w:pPr>
        <w:rPr>
          <w:b/>
          <w:bCs/>
        </w:rPr>
      </w:pPr>
    </w:p>
    <w:p w14:paraId="30455CDB" w14:textId="701B6E5D" w:rsidR="00CF7F63" w:rsidRDefault="00C348B8" w:rsidP="00C348B8">
      <w:pPr>
        <w:rPr>
          <w:b/>
          <w:bCs/>
        </w:rPr>
      </w:pPr>
      <w:r w:rsidRPr="00C348B8">
        <w:rPr>
          <w:b/>
          <w:bCs/>
        </w:rPr>
        <w:t xml:space="preserve">Presented: </w:t>
      </w:r>
    </w:p>
    <w:p w14:paraId="412AE280" w14:textId="4F7E02FC" w:rsidR="00C348B8" w:rsidRPr="00C348B8" w:rsidRDefault="00C348B8" w:rsidP="00C348B8">
      <w:pPr>
        <w:rPr>
          <w:b/>
          <w:bCs/>
        </w:rPr>
      </w:pPr>
      <w:r w:rsidRPr="00C348B8">
        <w:rPr>
          <w:b/>
          <w:bCs/>
        </w:rPr>
        <w:t xml:space="preserve">Approved: </w:t>
      </w:r>
    </w:p>
    <w:sectPr w:rsidR="00C348B8" w:rsidRPr="00C348B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9BCB" w14:textId="77777777" w:rsidR="002E0F13" w:rsidRDefault="002E0F13" w:rsidP="00541729">
      <w:r>
        <w:separator/>
      </w:r>
    </w:p>
  </w:endnote>
  <w:endnote w:type="continuationSeparator" w:id="0">
    <w:p w14:paraId="18AF578E" w14:textId="77777777" w:rsidR="002E0F13" w:rsidRDefault="002E0F13"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78E6" w14:textId="77777777" w:rsidR="002E0F13" w:rsidRDefault="002E0F13" w:rsidP="00541729">
      <w:r>
        <w:separator/>
      </w:r>
    </w:p>
  </w:footnote>
  <w:footnote w:type="continuationSeparator" w:id="0">
    <w:p w14:paraId="15EF50B8" w14:textId="77777777" w:rsidR="002E0F13" w:rsidRDefault="002E0F13"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1712"/>
    <w:rsid w:val="001C513C"/>
    <w:rsid w:val="001C603D"/>
    <w:rsid w:val="001C6349"/>
    <w:rsid w:val="00224C8C"/>
    <w:rsid w:val="00233CA6"/>
    <w:rsid w:val="002406CE"/>
    <w:rsid w:val="002602AB"/>
    <w:rsid w:val="00293B69"/>
    <w:rsid w:val="002A1E23"/>
    <w:rsid w:val="002E0F13"/>
    <w:rsid w:val="002E6032"/>
    <w:rsid w:val="003204FB"/>
    <w:rsid w:val="003367E2"/>
    <w:rsid w:val="00347571"/>
    <w:rsid w:val="00372A77"/>
    <w:rsid w:val="00394E8C"/>
    <w:rsid w:val="003C14A0"/>
    <w:rsid w:val="003C3EB3"/>
    <w:rsid w:val="003E10AA"/>
    <w:rsid w:val="0040009B"/>
    <w:rsid w:val="0041692F"/>
    <w:rsid w:val="00441FF8"/>
    <w:rsid w:val="00450158"/>
    <w:rsid w:val="00456129"/>
    <w:rsid w:val="00487C6B"/>
    <w:rsid w:val="00492F91"/>
    <w:rsid w:val="00497DB0"/>
    <w:rsid w:val="00511080"/>
    <w:rsid w:val="00511CD3"/>
    <w:rsid w:val="00537017"/>
    <w:rsid w:val="00537399"/>
    <w:rsid w:val="00541729"/>
    <w:rsid w:val="00564755"/>
    <w:rsid w:val="00574E90"/>
    <w:rsid w:val="005866F6"/>
    <w:rsid w:val="005922E0"/>
    <w:rsid w:val="005B17E2"/>
    <w:rsid w:val="0063521E"/>
    <w:rsid w:val="00641B8F"/>
    <w:rsid w:val="00681007"/>
    <w:rsid w:val="00694875"/>
    <w:rsid w:val="006D23F4"/>
    <w:rsid w:val="006D4A4D"/>
    <w:rsid w:val="007327C7"/>
    <w:rsid w:val="007740A3"/>
    <w:rsid w:val="00774B23"/>
    <w:rsid w:val="007B60F2"/>
    <w:rsid w:val="007F332B"/>
    <w:rsid w:val="00815279"/>
    <w:rsid w:val="00815DAF"/>
    <w:rsid w:val="00835F0B"/>
    <w:rsid w:val="00846FC7"/>
    <w:rsid w:val="008567DF"/>
    <w:rsid w:val="00883624"/>
    <w:rsid w:val="008A54B5"/>
    <w:rsid w:val="008B4BBE"/>
    <w:rsid w:val="008F3023"/>
    <w:rsid w:val="0091550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13D7C"/>
    <w:rsid w:val="00D22ACA"/>
    <w:rsid w:val="00DB559C"/>
    <w:rsid w:val="00DC0D52"/>
    <w:rsid w:val="00DC762A"/>
    <w:rsid w:val="00DD40C1"/>
    <w:rsid w:val="00DE1B21"/>
    <w:rsid w:val="00DF15DE"/>
    <w:rsid w:val="00E01592"/>
    <w:rsid w:val="00E1453B"/>
    <w:rsid w:val="00E21B1C"/>
    <w:rsid w:val="00E3053F"/>
    <w:rsid w:val="00E3361E"/>
    <w:rsid w:val="00E42CF5"/>
    <w:rsid w:val="00E8541E"/>
    <w:rsid w:val="00EB4239"/>
    <w:rsid w:val="00EF38E6"/>
    <w:rsid w:val="00F02374"/>
    <w:rsid w:val="00F348B1"/>
    <w:rsid w:val="00F457EB"/>
    <w:rsid w:val="00F646CB"/>
    <w:rsid w:val="00FC2018"/>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styleId="Strong">
    <w:name w:val="Strong"/>
    <w:basedOn w:val="DefaultParagraphFont"/>
    <w:uiPriority w:val="22"/>
    <w:qFormat/>
    <w:rsid w:val="00915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195389513">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744756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556549056">
      <w:bodyDiv w:val="1"/>
      <w:marLeft w:val="0"/>
      <w:marRight w:val="0"/>
      <w:marTop w:val="0"/>
      <w:marBottom w:val="0"/>
      <w:divBdr>
        <w:top w:val="none" w:sz="0" w:space="0" w:color="auto"/>
        <w:left w:val="none" w:sz="0" w:space="0" w:color="auto"/>
        <w:bottom w:val="none" w:sz="0" w:space="0" w:color="auto"/>
        <w:right w:val="none" w:sz="0" w:space="0" w:color="auto"/>
      </w:divBdr>
    </w:div>
    <w:div w:id="777214603">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094742263">
      <w:bodyDiv w:val="1"/>
      <w:marLeft w:val="0"/>
      <w:marRight w:val="0"/>
      <w:marTop w:val="0"/>
      <w:marBottom w:val="0"/>
      <w:divBdr>
        <w:top w:val="none" w:sz="0" w:space="0" w:color="auto"/>
        <w:left w:val="none" w:sz="0" w:space="0" w:color="auto"/>
        <w:bottom w:val="none" w:sz="0" w:space="0" w:color="auto"/>
        <w:right w:val="none" w:sz="0" w:space="0" w:color="auto"/>
      </w:divBdr>
    </w:div>
    <w:div w:id="1104612979">
      <w:bodyDiv w:val="1"/>
      <w:marLeft w:val="0"/>
      <w:marRight w:val="0"/>
      <w:marTop w:val="0"/>
      <w:marBottom w:val="0"/>
      <w:divBdr>
        <w:top w:val="none" w:sz="0" w:space="0" w:color="auto"/>
        <w:left w:val="none" w:sz="0" w:space="0" w:color="auto"/>
        <w:bottom w:val="none" w:sz="0" w:space="0" w:color="auto"/>
        <w:right w:val="none" w:sz="0" w:space="0" w:color="auto"/>
      </w:divBdr>
      <w:divsChild>
        <w:div w:id="1734542700">
          <w:marLeft w:val="0"/>
          <w:marRight w:val="0"/>
          <w:marTop w:val="240"/>
          <w:marBottom w:val="240"/>
          <w:divBdr>
            <w:top w:val="none" w:sz="0" w:space="0" w:color="auto"/>
            <w:left w:val="none" w:sz="0" w:space="0" w:color="auto"/>
            <w:bottom w:val="none" w:sz="0" w:space="0" w:color="auto"/>
            <w:right w:val="none" w:sz="0" w:space="0" w:color="auto"/>
          </w:divBdr>
        </w:div>
        <w:div w:id="2142847282">
          <w:marLeft w:val="0"/>
          <w:marRight w:val="0"/>
          <w:marTop w:val="240"/>
          <w:marBottom w:val="240"/>
          <w:divBdr>
            <w:top w:val="none" w:sz="0" w:space="0" w:color="auto"/>
            <w:left w:val="none" w:sz="0" w:space="0" w:color="auto"/>
            <w:bottom w:val="none" w:sz="0" w:space="0" w:color="auto"/>
            <w:right w:val="none" w:sz="0" w:space="0" w:color="auto"/>
          </w:divBdr>
        </w:div>
        <w:div w:id="690302827">
          <w:marLeft w:val="0"/>
          <w:marRight w:val="0"/>
          <w:marTop w:val="240"/>
          <w:marBottom w:val="240"/>
          <w:divBdr>
            <w:top w:val="none" w:sz="0" w:space="0" w:color="auto"/>
            <w:left w:val="none" w:sz="0" w:space="0" w:color="auto"/>
            <w:bottom w:val="none" w:sz="0" w:space="0" w:color="auto"/>
            <w:right w:val="none" w:sz="0" w:space="0" w:color="auto"/>
          </w:divBdr>
        </w:div>
        <w:div w:id="713434173">
          <w:marLeft w:val="0"/>
          <w:marRight w:val="0"/>
          <w:marTop w:val="240"/>
          <w:marBottom w:val="240"/>
          <w:divBdr>
            <w:top w:val="none" w:sz="0" w:space="0" w:color="auto"/>
            <w:left w:val="none" w:sz="0" w:space="0" w:color="auto"/>
            <w:bottom w:val="none" w:sz="0" w:space="0" w:color="auto"/>
            <w:right w:val="none" w:sz="0" w:space="0" w:color="auto"/>
          </w:divBdr>
        </w:div>
        <w:div w:id="1331375169">
          <w:marLeft w:val="0"/>
          <w:marRight w:val="0"/>
          <w:marTop w:val="240"/>
          <w:marBottom w:val="240"/>
          <w:divBdr>
            <w:top w:val="none" w:sz="0" w:space="0" w:color="auto"/>
            <w:left w:val="none" w:sz="0" w:space="0" w:color="auto"/>
            <w:bottom w:val="none" w:sz="0" w:space="0" w:color="auto"/>
            <w:right w:val="none" w:sz="0" w:space="0" w:color="auto"/>
          </w:divBdr>
        </w:div>
      </w:divsChild>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50382255">
      <w:bodyDiv w:val="1"/>
      <w:marLeft w:val="0"/>
      <w:marRight w:val="0"/>
      <w:marTop w:val="0"/>
      <w:marBottom w:val="0"/>
      <w:divBdr>
        <w:top w:val="none" w:sz="0" w:space="0" w:color="auto"/>
        <w:left w:val="none" w:sz="0" w:space="0" w:color="auto"/>
        <w:bottom w:val="none" w:sz="0" w:space="0" w:color="auto"/>
        <w:right w:val="none" w:sz="0" w:space="0" w:color="auto"/>
      </w:divBdr>
      <w:divsChild>
        <w:div w:id="1321421676">
          <w:marLeft w:val="0"/>
          <w:marRight w:val="0"/>
          <w:marTop w:val="240"/>
          <w:marBottom w:val="240"/>
          <w:divBdr>
            <w:top w:val="none" w:sz="0" w:space="0" w:color="auto"/>
            <w:left w:val="none" w:sz="0" w:space="0" w:color="auto"/>
            <w:bottom w:val="none" w:sz="0" w:space="0" w:color="auto"/>
            <w:right w:val="none" w:sz="0" w:space="0" w:color="auto"/>
          </w:divBdr>
        </w:div>
        <w:div w:id="145248160">
          <w:marLeft w:val="0"/>
          <w:marRight w:val="0"/>
          <w:marTop w:val="240"/>
          <w:marBottom w:val="240"/>
          <w:divBdr>
            <w:top w:val="none" w:sz="0" w:space="0" w:color="auto"/>
            <w:left w:val="none" w:sz="0" w:space="0" w:color="auto"/>
            <w:bottom w:val="none" w:sz="0" w:space="0" w:color="auto"/>
            <w:right w:val="none" w:sz="0" w:space="0" w:color="auto"/>
          </w:divBdr>
        </w:div>
        <w:div w:id="1422532169">
          <w:marLeft w:val="0"/>
          <w:marRight w:val="0"/>
          <w:marTop w:val="240"/>
          <w:marBottom w:val="240"/>
          <w:divBdr>
            <w:top w:val="none" w:sz="0" w:space="0" w:color="auto"/>
            <w:left w:val="none" w:sz="0" w:space="0" w:color="auto"/>
            <w:bottom w:val="none" w:sz="0" w:space="0" w:color="auto"/>
            <w:right w:val="none" w:sz="0" w:space="0" w:color="auto"/>
          </w:divBdr>
        </w:div>
        <w:div w:id="1758095213">
          <w:marLeft w:val="0"/>
          <w:marRight w:val="0"/>
          <w:marTop w:val="240"/>
          <w:marBottom w:val="240"/>
          <w:divBdr>
            <w:top w:val="none" w:sz="0" w:space="0" w:color="auto"/>
            <w:left w:val="none" w:sz="0" w:space="0" w:color="auto"/>
            <w:bottom w:val="none" w:sz="0" w:space="0" w:color="auto"/>
            <w:right w:val="none" w:sz="0" w:space="0" w:color="auto"/>
          </w:divBdr>
        </w:div>
        <w:div w:id="1901942171">
          <w:marLeft w:val="0"/>
          <w:marRight w:val="0"/>
          <w:marTop w:val="240"/>
          <w:marBottom w:val="240"/>
          <w:divBdr>
            <w:top w:val="none" w:sz="0" w:space="0" w:color="auto"/>
            <w:left w:val="none" w:sz="0" w:space="0" w:color="auto"/>
            <w:bottom w:val="none" w:sz="0" w:space="0" w:color="auto"/>
            <w:right w:val="none" w:sz="0" w:space="0" w:color="auto"/>
          </w:divBdr>
        </w:div>
      </w:divsChild>
    </w:div>
    <w:div w:id="1263804777">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8859090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58780150">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6454990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HNYXMCCMVK3K-464-1171</_dlc_DocId>
    <_dlc_DocIdUrl xmlns="431189f8-a51b-453f-9f0c-3a0b3b65b12f">
      <Url>https://www.sac.edu/President/AcademicSenate/_layouts/15/DocIdRedir.aspx?ID=HNYXMCCMVK3K-464-1171</Url>
      <Description>HNYXMCCMVK3K-464-1171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26913C69-887D-47BC-8BD2-ABE02F507F1B}"/>
</file>

<file path=customXml/itemProps3.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D9C95530-14DF-4A80-9464-78F69AF45184}"/>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cp:revision>
  <dcterms:created xsi:type="dcterms:W3CDTF">2025-05-10T20:51:00Z</dcterms:created>
  <dcterms:modified xsi:type="dcterms:W3CDTF">2025-05-10T20:51:00Z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6b534a97-27d0-41f9-ad74-28a1b2bf5f3f</vt:lpwstr>
  </property>
</Properties>
</file>