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63D8" w14:textId="3E53FB5F" w:rsidR="54682901" w:rsidRPr="00C348B8" w:rsidRDefault="00C348B8" w:rsidP="54682901">
      <w:pPr>
        <w:rPr>
          <w:rFonts w:eastAsia="Aptos" w:cstheme="minorHAnsi"/>
          <w:b/>
          <w:bCs/>
          <w:color w:val="C00000"/>
          <w:sz w:val="28"/>
          <w:szCs w:val="28"/>
        </w:rPr>
      </w:pPr>
      <w:r w:rsidRPr="00C348B8">
        <w:rPr>
          <w:rFonts w:eastAsia="Aptos" w:cstheme="minorHAnsi"/>
          <w:b/>
          <w:bCs/>
          <w:color w:val="C00000"/>
          <w:sz w:val="28"/>
          <w:szCs w:val="28"/>
        </w:rPr>
        <w:t>Resolution S2025</w:t>
      </w:r>
      <w:r w:rsidR="00EA22E4">
        <w:rPr>
          <w:rFonts w:eastAsia="Aptos" w:cstheme="minorHAnsi"/>
          <w:b/>
          <w:bCs/>
          <w:color w:val="C00000"/>
          <w:sz w:val="28"/>
          <w:szCs w:val="28"/>
        </w:rPr>
        <w:t>.10</w:t>
      </w:r>
      <w:r w:rsidR="007740A3">
        <w:rPr>
          <w:rFonts w:eastAsia="Aptos" w:cstheme="minorHAnsi"/>
          <w:b/>
          <w:bCs/>
          <w:color w:val="C00000"/>
          <w:sz w:val="28"/>
          <w:szCs w:val="28"/>
        </w:rPr>
        <w:tab/>
      </w:r>
    </w:p>
    <w:p w14:paraId="0EE3015B" w14:textId="1BB63B1E" w:rsidR="00EA22E4" w:rsidRDefault="0033464D" w:rsidP="54682901">
      <w:pPr>
        <w:rPr>
          <w:rFonts w:eastAsia="Aptos" w:cstheme="minorHAnsi"/>
          <w:b/>
          <w:bCs/>
          <w:color w:val="C00000"/>
          <w:sz w:val="28"/>
          <w:szCs w:val="28"/>
        </w:rPr>
      </w:pPr>
      <w:r w:rsidRPr="0033464D">
        <w:rPr>
          <w:rFonts w:eastAsia="Aptos" w:cstheme="minorHAnsi"/>
          <w:b/>
          <w:bCs/>
          <w:color w:val="C00000"/>
          <w:sz w:val="28"/>
          <w:szCs w:val="28"/>
        </w:rPr>
        <w:t>Adopt Process for Appointing Faculty Facilitators on Assignments with Non-Contract Compensation</w:t>
      </w:r>
    </w:p>
    <w:p w14:paraId="79ABC5FE" w14:textId="77777777" w:rsidR="0033464D" w:rsidRDefault="0033464D" w:rsidP="54682901">
      <w:pPr>
        <w:rPr>
          <w:rFonts w:eastAsia="Aptos" w:cstheme="minorHAnsi"/>
          <w:b/>
          <w:bCs/>
        </w:rPr>
      </w:pPr>
    </w:p>
    <w:p w14:paraId="39783FF8" w14:textId="49B1D1CA" w:rsidR="00C348B8" w:rsidRPr="00C348B8" w:rsidRDefault="00C348B8" w:rsidP="54682901">
      <w:pPr>
        <w:rPr>
          <w:rFonts w:eastAsia="Aptos" w:cstheme="minorHAnsi"/>
          <w:b/>
          <w:bCs/>
        </w:rPr>
      </w:pPr>
      <w:r w:rsidRPr="00C348B8">
        <w:rPr>
          <w:rFonts w:eastAsia="Aptos" w:cstheme="minorHAnsi"/>
          <w:b/>
          <w:bCs/>
        </w:rPr>
        <w:t>Moved:</w:t>
      </w:r>
    </w:p>
    <w:p w14:paraId="7EEBA09E" w14:textId="3A178D16" w:rsidR="00C348B8" w:rsidRDefault="00C348B8" w:rsidP="54682901">
      <w:pPr>
        <w:rPr>
          <w:rFonts w:eastAsia="Aptos" w:cstheme="minorHAnsi"/>
          <w:b/>
          <w:bCs/>
        </w:rPr>
      </w:pPr>
      <w:proofErr w:type="gramStart"/>
      <w:r w:rsidRPr="00C348B8">
        <w:rPr>
          <w:rFonts w:eastAsia="Aptos" w:cstheme="minorHAnsi"/>
          <w:b/>
          <w:bCs/>
        </w:rPr>
        <w:t>Seconded</w:t>
      </w:r>
      <w:proofErr w:type="gramEnd"/>
      <w:r w:rsidRPr="00C348B8">
        <w:rPr>
          <w:rFonts w:eastAsia="Aptos" w:cstheme="minorHAnsi"/>
          <w:b/>
          <w:bCs/>
        </w:rPr>
        <w:t xml:space="preserve">: </w:t>
      </w:r>
    </w:p>
    <w:p w14:paraId="0A8BB57D" w14:textId="77777777" w:rsidR="00835F0B" w:rsidRDefault="00835F0B" w:rsidP="00835F0B">
      <w:pPr>
        <w:rPr>
          <w:rFonts w:eastAsia="Times New Roman" w:cstheme="minorHAnsi"/>
          <w:b/>
          <w:bCs/>
        </w:rPr>
      </w:pPr>
    </w:p>
    <w:p w14:paraId="4EA1FCB7" w14:textId="77777777" w:rsidR="00EA22E4" w:rsidRDefault="00EA22E4" w:rsidP="00C348B8">
      <w:pPr>
        <w:rPr>
          <w:rFonts w:eastAsia="Times New Roman" w:cstheme="minorHAnsi"/>
        </w:rPr>
      </w:pPr>
      <w:proofErr w:type="gramStart"/>
      <w:r w:rsidRPr="00EA22E4">
        <w:rPr>
          <w:rFonts w:eastAsia="Times New Roman" w:cstheme="minorHAnsi"/>
        </w:rPr>
        <w:t>Whereas,</w:t>
      </w:r>
      <w:proofErr w:type="gramEnd"/>
      <w:r w:rsidRPr="00EA22E4">
        <w:rPr>
          <w:rFonts w:eastAsia="Times New Roman" w:cstheme="minorHAnsi"/>
        </w:rPr>
        <w:t xml:space="preserve"> the academic workload for faculty often includes responsibilities outside of their standard contract, such as learning center coordination, curriculum development, program leadership, and special projects, all of which are typically compensated separately from regular faculty duties; and  </w:t>
      </w:r>
    </w:p>
    <w:p w14:paraId="4EC33E25" w14:textId="77777777" w:rsidR="00EA22E4" w:rsidRDefault="00EA22E4" w:rsidP="00C348B8">
      <w:pPr>
        <w:rPr>
          <w:rFonts w:eastAsia="Times New Roman" w:cstheme="minorHAnsi"/>
        </w:rPr>
      </w:pPr>
    </w:p>
    <w:p w14:paraId="6BBEA4D7" w14:textId="77777777" w:rsidR="00EA22E4" w:rsidRDefault="00EA22E4" w:rsidP="00C348B8">
      <w:pPr>
        <w:rPr>
          <w:rFonts w:eastAsia="Times New Roman" w:cstheme="minorHAnsi"/>
        </w:rPr>
      </w:pPr>
      <w:proofErr w:type="gramStart"/>
      <w:r w:rsidRPr="00EA22E4">
        <w:rPr>
          <w:rFonts w:eastAsia="Times New Roman" w:cstheme="minorHAnsi"/>
        </w:rPr>
        <w:t>Whereas,</w:t>
      </w:r>
      <w:proofErr w:type="gramEnd"/>
      <w:r w:rsidRPr="00EA22E4">
        <w:rPr>
          <w:rFonts w:eastAsia="Times New Roman" w:cstheme="minorHAnsi"/>
        </w:rPr>
        <w:t xml:space="preserve"> the lack of a standardized process for assigning faculty to special assignments with compensation can lead to inconsistencies in compensation, inequities across departments, and confusion regarding workload distribution, all of which can affect faculty morale and engagement; and  </w:t>
      </w:r>
    </w:p>
    <w:p w14:paraId="6306568D" w14:textId="77777777" w:rsidR="00EA22E4" w:rsidRDefault="00EA22E4" w:rsidP="00C348B8">
      <w:pPr>
        <w:rPr>
          <w:rFonts w:eastAsia="Times New Roman" w:cstheme="minorHAnsi"/>
        </w:rPr>
      </w:pPr>
    </w:p>
    <w:p w14:paraId="3459946B" w14:textId="0BC6C1D2" w:rsidR="00835F0B" w:rsidRPr="00EA22E4" w:rsidRDefault="00EA22E4" w:rsidP="00C348B8">
      <w:pPr>
        <w:rPr>
          <w:rFonts w:eastAsia="Times New Roman" w:cstheme="minorHAnsi"/>
        </w:rPr>
      </w:pPr>
      <w:proofErr w:type="gramStart"/>
      <w:r w:rsidRPr="00EA22E4">
        <w:rPr>
          <w:rFonts w:eastAsia="Times New Roman" w:cstheme="minorHAnsi"/>
        </w:rPr>
        <w:t>Whereas,</w:t>
      </w:r>
      <w:proofErr w:type="gramEnd"/>
      <w:r w:rsidRPr="00EA22E4">
        <w:rPr>
          <w:rFonts w:eastAsia="Times New Roman" w:cstheme="minorHAnsi"/>
        </w:rPr>
        <w:t xml:space="preserve"> the development of an official process for assigning special assignments with compensation will promote transparency, consistency, and fairness, and will provide a clearer framework for faculty to participate in and contribute to institutional initiatives in a way that is recognized and properly </w:t>
      </w:r>
      <w:proofErr w:type="gramStart"/>
      <w:r w:rsidRPr="00EA22E4">
        <w:rPr>
          <w:rFonts w:eastAsia="Times New Roman" w:cstheme="minorHAnsi"/>
        </w:rPr>
        <w:t>compensated;</w:t>
      </w:r>
      <w:proofErr w:type="gramEnd"/>
      <w:r w:rsidRPr="00EA22E4">
        <w:rPr>
          <w:rFonts w:eastAsia="Times New Roman" w:cstheme="minorHAnsi"/>
        </w:rPr>
        <w:t xml:space="preserve">  </w:t>
      </w:r>
    </w:p>
    <w:p w14:paraId="59DA6F78" w14:textId="77777777" w:rsidR="00EA22E4" w:rsidRPr="00EA22E4" w:rsidRDefault="00EA22E4" w:rsidP="00C348B8">
      <w:pPr>
        <w:rPr>
          <w:rFonts w:eastAsia="Times New Roman" w:cstheme="minorHAnsi"/>
        </w:rPr>
      </w:pPr>
    </w:p>
    <w:p w14:paraId="2D59D9DB" w14:textId="60CB33DA" w:rsidR="00EA22E4" w:rsidRPr="00EA22E4" w:rsidRDefault="00EA22E4" w:rsidP="00C348B8">
      <w:pPr>
        <w:rPr>
          <w:rFonts w:cstheme="minorHAnsi"/>
        </w:rPr>
      </w:pPr>
      <w:r w:rsidRPr="00EA22E4">
        <w:rPr>
          <w:rFonts w:cstheme="minorHAnsi"/>
        </w:rPr>
        <w:t>Resolved, that the S</w:t>
      </w:r>
      <w:r>
        <w:rPr>
          <w:rFonts w:cstheme="minorHAnsi"/>
        </w:rPr>
        <w:t xml:space="preserve">AC </w:t>
      </w:r>
      <w:r w:rsidRPr="00EA22E4">
        <w:rPr>
          <w:rFonts w:cstheme="minorHAnsi"/>
        </w:rPr>
        <w:t xml:space="preserve">Academic Senate recommends the development and integration of the “Process for Appointing Faculty Facilitators on Assignments with Non-Contract Compensation” into the institution’s collegial governance policies and procedures, ensuring clarity, consistency, and alignment with institutional priorities, while also ensuring that faculty are appropriately compensated for their special assignments and that this compensation structure is clearly outlined and consistently applied across programs; and  </w:t>
      </w:r>
    </w:p>
    <w:p w14:paraId="7DE8572F" w14:textId="77777777" w:rsidR="00EA22E4" w:rsidRPr="00EA22E4" w:rsidRDefault="00EA22E4" w:rsidP="00C348B8">
      <w:pPr>
        <w:rPr>
          <w:rFonts w:cstheme="minorHAnsi"/>
        </w:rPr>
      </w:pPr>
    </w:p>
    <w:p w14:paraId="3871FA7D" w14:textId="706C2B8D" w:rsidR="00EA22E4" w:rsidRPr="00EA22E4" w:rsidRDefault="00EA22E4" w:rsidP="00C348B8">
      <w:pPr>
        <w:rPr>
          <w:rFonts w:cstheme="minorHAnsi"/>
        </w:rPr>
      </w:pPr>
      <w:r w:rsidRPr="00EA22E4">
        <w:rPr>
          <w:rFonts w:cstheme="minorHAnsi"/>
        </w:rPr>
        <w:t>Resolved, that the Academic Senate urges the College Council to review and approve the proposed “Process for Appointing Faculty Facilitators on Assignments with Non-Contract Compensation” and to incorporate it into the college's official governance structure to ensure institutional support and alignment with the college’s mission and priorities.</w:t>
      </w:r>
    </w:p>
    <w:p w14:paraId="3D74C301" w14:textId="77777777" w:rsidR="00EA22E4" w:rsidRDefault="00EA22E4" w:rsidP="00C348B8">
      <w:pPr>
        <w:rPr>
          <w:b/>
          <w:bCs/>
        </w:rPr>
      </w:pPr>
    </w:p>
    <w:p w14:paraId="30455CDB" w14:textId="46F8080C" w:rsidR="00CF7F63" w:rsidRDefault="00C348B8" w:rsidP="00C348B8">
      <w:pPr>
        <w:rPr>
          <w:b/>
          <w:bCs/>
        </w:rPr>
      </w:pPr>
      <w:r w:rsidRPr="00C348B8">
        <w:rPr>
          <w:b/>
          <w:bCs/>
        </w:rPr>
        <w:t xml:space="preserve">Presented: </w:t>
      </w:r>
    </w:p>
    <w:p w14:paraId="412AE280" w14:textId="4F7E02FC" w:rsidR="00C348B8" w:rsidRPr="00C348B8" w:rsidRDefault="00C348B8" w:rsidP="00C348B8">
      <w:pPr>
        <w:rPr>
          <w:b/>
          <w:bCs/>
        </w:rPr>
      </w:pPr>
      <w:r w:rsidRPr="00C348B8">
        <w:rPr>
          <w:b/>
          <w:bCs/>
        </w:rPr>
        <w:t xml:space="preserve">Approved: </w:t>
      </w:r>
    </w:p>
    <w:sectPr w:rsidR="00C348B8" w:rsidRPr="00C348B8"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D1C77" w14:textId="77777777" w:rsidR="00D42CFB" w:rsidRDefault="00D42CFB" w:rsidP="00541729">
      <w:r>
        <w:separator/>
      </w:r>
    </w:p>
  </w:endnote>
  <w:endnote w:type="continuationSeparator" w:id="0">
    <w:p w14:paraId="69E95040" w14:textId="77777777" w:rsidR="00D42CFB" w:rsidRDefault="00D42CFB"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859D" w14:textId="77777777" w:rsidR="00511080" w:rsidRDefault="00511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C55" w14:textId="65AD3315" w:rsidR="00815279" w:rsidRP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007B60F2" w:rsidRPr="008567DF">
      <w:rPr>
        <w:rFonts w:ascii="Neutraface Text Book" w:hAnsi="Neutraface Text Book"/>
        <w:sz w:val="18"/>
        <w:szCs w:val="18"/>
      </w:rPr>
      <w:t xml:space="preserve"> •</w:t>
    </w:r>
    <w:proofErr w:type="gramEnd"/>
    <w:r w:rsidR="00815279" w:rsidRPr="008567DF">
      <w:rPr>
        <w:rFonts w:ascii="Neutraface Text Book" w:hAnsi="Neutraface Text Book"/>
        <w:sz w:val="18"/>
        <w:szCs w:val="18"/>
      </w:rPr>
      <w:t xml:space="preserve"> </w:t>
    </w:r>
    <w:r w:rsidR="007B60F2" w:rsidRPr="008567DF">
      <w:rPr>
        <w:rFonts w:ascii="Neutraface Text Book" w:hAnsi="Neutraface Text Book"/>
        <w:sz w:val="18"/>
        <w:szCs w:val="18"/>
      </w:rPr>
      <w:t xml:space="preserve"> </w:t>
    </w: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14:paraId="3C40D7C2" w14:textId="15B9FC33" w:rsidR="008567DF"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007B60F2" w:rsidRPr="008567DF">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00815279" w:rsidRPr="008567DF">
      <w:rPr>
        <w:rFonts w:ascii="Neutraface Text Book" w:hAnsi="Neutraface Text Book"/>
        <w:sz w:val="18"/>
        <w:szCs w:val="18"/>
      </w:rPr>
      <w:t xml:space="preserve">Barrios  </w:t>
    </w:r>
  </w:p>
  <w:p w14:paraId="08A75023" w14:textId="77777777" w:rsidR="008567DF" w:rsidRDefault="00815279"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Curriculum &amp; Instruction Chair</w:t>
    </w:r>
    <w:r w:rsidR="6BDB731B" w:rsidRPr="008567DF">
      <w:rPr>
        <w:rFonts w:ascii="Neutraface Text Book" w:hAnsi="Neutraface Text Book"/>
        <w:sz w:val="18"/>
        <w:szCs w:val="18"/>
      </w:rPr>
      <w:t xml:space="preserve">, Kristen </w:t>
    </w:r>
    <w:proofErr w:type="gramStart"/>
    <w:r w:rsidR="6BDB731B" w:rsidRPr="008567DF">
      <w:rPr>
        <w:rFonts w:ascii="Neutraface Text Book" w:hAnsi="Neutraface Text Book"/>
        <w:sz w:val="18"/>
        <w:szCs w:val="18"/>
      </w:rPr>
      <w:t>Robinson</w:t>
    </w:r>
    <w:r w:rsidR="008567DF">
      <w:rPr>
        <w:rFonts w:ascii="Neutraface Text Book" w:hAnsi="Neutraface Text Book"/>
        <w:sz w:val="18"/>
        <w:szCs w:val="18"/>
      </w:rPr>
      <w:t xml:space="preserve"> </w:t>
    </w:r>
    <w:r w:rsidR="008567DF" w:rsidRPr="6BDB731B">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019D3FDA"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74CE" w14:textId="77777777" w:rsidR="00511080" w:rsidRDefault="0051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50A80" w14:textId="77777777" w:rsidR="00D42CFB" w:rsidRDefault="00D42CFB" w:rsidP="00541729">
      <w:r>
        <w:separator/>
      </w:r>
    </w:p>
  </w:footnote>
  <w:footnote w:type="continuationSeparator" w:id="0">
    <w:p w14:paraId="3F3AE6F6" w14:textId="77777777" w:rsidR="00D42CFB" w:rsidRDefault="00D42CFB"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70C6" w14:textId="77777777" w:rsidR="00511080" w:rsidRDefault="00511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6C4FAD86" w:rsidR="00541729" w:rsidRDefault="00FE440C" w:rsidP="001C603D">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4DB9" w14:textId="77777777" w:rsidR="00511080" w:rsidRDefault="0051108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631"/>
    <w:rsid w:val="00113F87"/>
    <w:rsid w:val="001173CE"/>
    <w:rsid w:val="001305C1"/>
    <w:rsid w:val="0014668A"/>
    <w:rsid w:val="00176D53"/>
    <w:rsid w:val="00194A8C"/>
    <w:rsid w:val="001A4824"/>
    <w:rsid w:val="001C1712"/>
    <w:rsid w:val="001C603D"/>
    <w:rsid w:val="001C6349"/>
    <w:rsid w:val="00224C8C"/>
    <w:rsid w:val="00233CA6"/>
    <w:rsid w:val="002602AB"/>
    <w:rsid w:val="00293B69"/>
    <w:rsid w:val="002A1E23"/>
    <w:rsid w:val="002E6032"/>
    <w:rsid w:val="003118B7"/>
    <w:rsid w:val="003204FB"/>
    <w:rsid w:val="0033464D"/>
    <w:rsid w:val="003367E2"/>
    <w:rsid w:val="00347571"/>
    <w:rsid w:val="00372A77"/>
    <w:rsid w:val="00394E8C"/>
    <w:rsid w:val="003C14A0"/>
    <w:rsid w:val="003C3EB3"/>
    <w:rsid w:val="003E10AA"/>
    <w:rsid w:val="0040009B"/>
    <w:rsid w:val="0041692F"/>
    <w:rsid w:val="00441FF8"/>
    <w:rsid w:val="00450158"/>
    <w:rsid w:val="00456129"/>
    <w:rsid w:val="00487C6B"/>
    <w:rsid w:val="00492F91"/>
    <w:rsid w:val="00497DB0"/>
    <w:rsid w:val="00511080"/>
    <w:rsid w:val="00511CD3"/>
    <w:rsid w:val="00537017"/>
    <w:rsid w:val="00537399"/>
    <w:rsid w:val="00541729"/>
    <w:rsid w:val="00564755"/>
    <w:rsid w:val="00574E90"/>
    <w:rsid w:val="005866F6"/>
    <w:rsid w:val="005922E0"/>
    <w:rsid w:val="005B17E2"/>
    <w:rsid w:val="0063521E"/>
    <w:rsid w:val="00681007"/>
    <w:rsid w:val="00694875"/>
    <w:rsid w:val="006D23F4"/>
    <w:rsid w:val="006D4A4D"/>
    <w:rsid w:val="007327C7"/>
    <w:rsid w:val="007740A3"/>
    <w:rsid w:val="00774B23"/>
    <w:rsid w:val="007B60F2"/>
    <w:rsid w:val="007F332B"/>
    <w:rsid w:val="00815279"/>
    <w:rsid w:val="00815DAF"/>
    <w:rsid w:val="00835F0B"/>
    <w:rsid w:val="00846FC7"/>
    <w:rsid w:val="008567DF"/>
    <w:rsid w:val="00883624"/>
    <w:rsid w:val="008A54B5"/>
    <w:rsid w:val="008B4BBE"/>
    <w:rsid w:val="008F3023"/>
    <w:rsid w:val="0091550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13D7C"/>
    <w:rsid w:val="00D22ACA"/>
    <w:rsid w:val="00D42CFB"/>
    <w:rsid w:val="00DB559C"/>
    <w:rsid w:val="00DC0D52"/>
    <w:rsid w:val="00DC762A"/>
    <w:rsid w:val="00DD40C1"/>
    <w:rsid w:val="00DE1B21"/>
    <w:rsid w:val="00DF15DE"/>
    <w:rsid w:val="00E01592"/>
    <w:rsid w:val="00E1453B"/>
    <w:rsid w:val="00E21B1C"/>
    <w:rsid w:val="00E3053F"/>
    <w:rsid w:val="00E3361E"/>
    <w:rsid w:val="00E42CF5"/>
    <w:rsid w:val="00E8541E"/>
    <w:rsid w:val="00EA22E4"/>
    <w:rsid w:val="00EB4239"/>
    <w:rsid w:val="00EF38E6"/>
    <w:rsid w:val="00F02374"/>
    <w:rsid w:val="00F348B1"/>
    <w:rsid w:val="00F457EB"/>
    <w:rsid w:val="00F646CB"/>
    <w:rsid w:val="00FC2018"/>
    <w:rsid w:val="00FD0EF2"/>
    <w:rsid w:val="00FD25CF"/>
    <w:rsid w:val="00FE4395"/>
    <w:rsid w:val="00FE440C"/>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styleId="Strong">
    <w:name w:val="Strong"/>
    <w:basedOn w:val="DefaultParagraphFont"/>
    <w:uiPriority w:val="22"/>
    <w:qFormat/>
    <w:rsid w:val="00915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744756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556549056">
      <w:bodyDiv w:val="1"/>
      <w:marLeft w:val="0"/>
      <w:marRight w:val="0"/>
      <w:marTop w:val="0"/>
      <w:marBottom w:val="0"/>
      <w:divBdr>
        <w:top w:val="none" w:sz="0" w:space="0" w:color="auto"/>
        <w:left w:val="none" w:sz="0" w:space="0" w:color="auto"/>
        <w:bottom w:val="none" w:sz="0" w:space="0" w:color="auto"/>
        <w:right w:val="none" w:sz="0" w:space="0" w:color="auto"/>
      </w:divBdr>
    </w:div>
    <w:div w:id="777214603">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104612979">
      <w:bodyDiv w:val="1"/>
      <w:marLeft w:val="0"/>
      <w:marRight w:val="0"/>
      <w:marTop w:val="0"/>
      <w:marBottom w:val="0"/>
      <w:divBdr>
        <w:top w:val="none" w:sz="0" w:space="0" w:color="auto"/>
        <w:left w:val="none" w:sz="0" w:space="0" w:color="auto"/>
        <w:bottom w:val="none" w:sz="0" w:space="0" w:color="auto"/>
        <w:right w:val="none" w:sz="0" w:space="0" w:color="auto"/>
      </w:divBdr>
      <w:divsChild>
        <w:div w:id="1734542700">
          <w:marLeft w:val="0"/>
          <w:marRight w:val="0"/>
          <w:marTop w:val="240"/>
          <w:marBottom w:val="240"/>
          <w:divBdr>
            <w:top w:val="none" w:sz="0" w:space="0" w:color="auto"/>
            <w:left w:val="none" w:sz="0" w:space="0" w:color="auto"/>
            <w:bottom w:val="none" w:sz="0" w:space="0" w:color="auto"/>
            <w:right w:val="none" w:sz="0" w:space="0" w:color="auto"/>
          </w:divBdr>
        </w:div>
        <w:div w:id="2142847282">
          <w:marLeft w:val="0"/>
          <w:marRight w:val="0"/>
          <w:marTop w:val="240"/>
          <w:marBottom w:val="240"/>
          <w:divBdr>
            <w:top w:val="none" w:sz="0" w:space="0" w:color="auto"/>
            <w:left w:val="none" w:sz="0" w:space="0" w:color="auto"/>
            <w:bottom w:val="none" w:sz="0" w:space="0" w:color="auto"/>
            <w:right w:val="none" w:sz="0" w:space="0" w:color="auto"/>
          </w:divBdr>
        </w:div>
        <w:div w:id="690302827">
          <w:marLeft w:val="0"/>
          <w:marRight w:val="0"/>
          <w:marTop w:val="240"/>
          <w:marBottom w:val="240"/>
          <w:divBdr>
            <w:top w:val="none" w:sz="0" w:space="0" w:color="auto"/>
            <w:left w:val="none" w:sz="0" w:space="0" w:color="auto"/>
            <w:bottom w:val="none" w:sz="0" w:space="0" w:color="auto"/>
            <w:right w:val="none" w:sz="0" w:space="0" w:color="auto"/>
          </w:divBdr>
        </w:div>
        <w:div w:id="713434173">
          <w:marLeft w:val="0"/>
          <w:marRight w:val="0"/>
          <w:marTop w:val="240"/>
          <w:marBottom w:val="240"/>
          <w:divBdr>
            <w:top w:val="none" w:sz="0" w:space="0" w:color="auto"/>
            <w:left w:val="none" w:sz="0" w:space="0" w:color="auto"/>
            <w:bottom w:val="none" w:sz="0" w:space="0" w:color="auto"/>
            <w:right w:val="none" w:sz="0" w:space="0" w:color="auto"/>
          </w:divBdr>
        </w:div>
        <w:div w:id="1331375169">
          <w:marLeft w:val="0"/>
          <w:marRight w:val="0"/>
          <w:marTop w:val="240"/>
          <w:marBottom w:val="240"/>
          <w:divBdr>
            <w:top w:val="none" w:sz="0" w:space="0" w:color="auto"/>
            <w:left w:val="none" w:sz="0" w:space="0" w:color="auto"/>
            <w:bottom w:val="none" w:sz="0" w:space="0" w:color="auto"/>
            <w:right w:val="none" w:sz="0" w:space="0" w:color="auto"/>
          </w:divBdr>
        </w:div>
      </w:divsChild>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50382255">
      <w:bodyDiv w:val="1"/>
      <w:marLeft w:val="0"/>
      <w:marRight w:val="0"/>
      <w:marTop w:val="0"/>
      <w:marBottom w:val="0"/>
      <w:divBdr>
        <w:top w:val="none" w:sz="0" w:space="0" w:color="auto"/>
        <w:left w:val="none" w:sz="0" w:space="0" w:color="auto"/>
        <w:bottom w:val="none" w:sz="0" w:space="0" w:color="auto"/>
        <w:right w:val="none" w:sz="0" w:space="0" w:color="auto"/>
      </w:divBdr>
      <w:divsChild>
        <w:div w:id="1321421676">
          <w:marLeft w:val="0"/>
          <w:marRight w:val="0"/>
          <w:marTop w:val="240"/>
          <w:marBottom w:val="240"/>
          <w:divBdr>
            <w:top w:val="none" w:sz="0" w:space="0" w:color="auto"/>
            <w:left w:val="none" w:sz="0" w:space="0" w:color="auto"/>
            <w:bottom w:val="none" w:sz="0" w:space="0" w:color="auto"/>
            <w:right w:val="none" w:sz="0" w:space="0" w:color="auto"/>
          </w:divBdr>
        </w:div>
        <w:div w:id="145248160">
          <w:marLeft w:val="0"/>
          <w:marRight w:val="0"/>
          <w:marTop w:val="240"/>
          <w:marBottom w:val="240"/>
          <w:divBdr>
            <w:top w:val="none" w:sz="0" w:space="0" w:color="auto"/>
            <w:left w:val="none" w:sz="0" w:space="0" w:color="auto"/>
            <w:bottom w:val="none" w:sz="0" w:space="0" w:color="auto"/>
            <w:right w:val="none" w:sz="0" w:space="0" w:color="auto"/>
          </w:divBdr>
        </w:div>
        <w:div w:id="1422532169">
          <w:marLeft w:val="0"/>
          <w:marRight w:val="0"/>
          <w:marTop w:val="240"/>
          <w:marBottom w:val="240"/>
          <w:divBdr>
            <w:top w:val="none" w:sz="0" w:space="0" w:color="auto"/>
            <w:left w:val="none" w:sz="0" w:space="0" w:color="auto"/>
            <w:bottom w:val="none" w:sz="0" w:space="0" w:color="auto"/>
            <w:right w:val="none" w:sz="0" w:space="0" w:color="auto"/>
          </w:divBdr>
        </w:div>
        <w:div w:id="1758095213">
          <w:marLeft w:val="0"/>
          <w:marRight w:val="0"/>
          <w:marTop w:val="240"/>
          <w:marBottom w:val="240"/>
          <w:divBdr>
            <w:top w:val="none" w:sz="0" w:space="0" w:color="auto"/>
            <w:left w:val="none" w:sz="0" w:space="0" w:color="auto"/>
            <w:bottom w:val="none" w:sz="0" w:space="0" w:color="auto"/>
            <w:right w:val="none" w:sz="0" w:space="0" w:color="auto"/>
          </w:divBdr>
        </w:div>
        <w:div w:id="1901942171">
          <w:marLeft w:val="0"/>
          <w:marRight w:val="0"/>
          <w:marTop w:val="240"/>
          <w:marBottom w:val="240"/>
          <w:divBdr>
            <w:top w:val="none" w:sz="0" w:space="0" w:color="auto"/>
            <w:left w:val="none" w:sz="0" w:space="0" w:color="auto"/>
            <w:bottom w:val="none" w:sz="0" w:space="0" w:color="auto"/>
            <w:right w:val="none" w:sz="0" w:space="0" w:color="auto"/>
          </w:divBdr>
        </w:div>
      </w:divsChild>
    </w:div>
    <w:div w:id="126380477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8859090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58780150">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6454990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HNYXMCCMVK3K-464-1170</_dlc_DocId>
    <_dlc_DocIdUrl xmlns="431189f8-a51b-453f-9f0c-3a0b3b65b12f">
      <Url>https://www.sac.edu/President/AcademicSenate/_layouts/15/DocIdRedir.aspx?ID=HNYXMCCMVK3K-464-1170</Url>
      <Description>HNYXMCCMVK3K-464-1170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751C94EA-9FBC-45BA-8EBC-AA8CD0257D4E}"/>
</file>

<file path=customXml/itemProps3.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4.xml><?xml version="1.0" encoding="utf-8"?>
<ds:datastoreItem xmlns:ds="http://schemas.openxmlformats.org/officeDocument/2006/customXml" ds:itemID="{F90AA968-D01A-481C-8A64-0D6AEEF255E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Claire Coyne</cp:lastModifiedBy>
  <cp:revision>2</cp:revision>
  <dcterms:created xsi:type="dcterms:W3CDTF">2025-05-11T00:12:00Z</dcterms:created>
  <dcterms:modified xsi:type="dcterms:W3CDTF">2025-05-11T00:12:00Z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5dc6a010-b3c7-4cc7-8564-dc46b7148f3c</vt:lpwstr>
  </property>
</Properties>
</file>