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325DDD6E"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S2025.0</w:t>
      </w:r>
      <w:r w:rsidR="007740A3">
        <w:rPr>
          <w:rFonts w:eastAsia="Aptos" w:cstheme="minorHAnsi"/>
          <w:b/>
          <w:bCs/>
          <w:color w:val="C00000"/>
          <w:sz w:val="28"/>
          <w:szCs w:val="28"/>
        </w:rPr>
        <w:t>6</w:t>
      </w:r>
      <w:r w:rsidR="007740A3">
        <w:rPr>
          <w:rFonts w:eastAsia="Aptos" w:cstheme="minorHAnsi"/>
          <w:b/>
          <w:bCs/>
          <w:color w:val="C00000"/>
          <w:sz w:val="28"/>
          <w:szCs w:val="28"/>
        </w:rPr>
        <w:tab/>
      </w:r>
    </w:p>
    <w:p w14:paraId="26703D12" w14:textId="0D132EDF" w:rsidR="00CF7F63" w:rsidRDefault="007740A3" w:rsidP="54682901">
      <w:pPr>
        <w:rPr>
          <w:rFonts w:eastAsia="Aptos" w:cstheme="minorHAnsi"/>
          <w:b/>
          <w:bCs/>
          <w:color w:val="C00000"/>
          <w:sz w:val="28"/>
          <w:szCs w:val="28"/>
        </w:rPr>
      </w:pPr>
      <w:r w:rsidRPr="007740A3">
        <w:rPr>
          <w:rFonts w:eastAsia="Aptos" w:cstheme="minorHAnsi"/>
          <w:b/>
          <w:bCs/>
          <w:color w:val="C00000"/>
          <w:sz w:val="28"/>
          <w:szCs w:val="28"/>
        </w:rPr>
        <w:t>Endorse Collaborative Revision of Administrative Regulation 4040: Library and Learning Support Services </w:t>
      </w:r>
    </w:p>
    <w:p w14:paraId="3FA21573" w14:textId="77777777" w:rsidR="007740A3" w:rsidRDefault="007740A3" w:rsidP="54682901">
      <w:pPr>
        <w:rPr>
          <w:rFonts w:eastAsia="Aptos" w:cstheme="minorHAnsi"/>
          <w:b/>
          <w:bCs/>
        </w:rPr>
      </w:pPr>
    </w:p>
    <w:p w14:paraId="39783FF8" w14:textId="400F4FAC"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120D1B4D" w14:textId="77777777" w:rsidR="00C348B8" w:rsidRDefault="00C348B8" w:rsidP="54682901">
      <w:pPr>
        <w:rPr>
          <w:rFonts w:eastAsia="Aptos" w:cstheme="minorHAnsi"/>
          <w:b/>
          <w:bCs/>
        </w:rPr>
      </w:pPr>
    </w:p>
    <w:p w14:paraId="4BC66684" w14:textId="77777777" w:rsidR="00CF7F63" w:rsidRDefault="00CF7F63" w:rsidP="54682901">
      <w:pPr>
        <w:rPr>
          <w:rFonts w:eastAsia="Aptos" w:cstheme="minorHAnsi"/>
          <w:b/>
          <w:bCs/>
        </w:rPr>
      </w:pPr>
    </w:p>
    <w:p w14:paraId="46A7BF05" w14:textId="09D7753A" w:rsidR="007740A3" w:rsidRDefault="007740A3" w:rsidP="007740A3">
      <w:proofErr w:type="gramStart"/>
      <w:r w:rsidRPr="007740A3">
        <w:t>Whereas,</w:t>
      </w:r>
      <w:proofErr w:type="gramEnd"/>
      <w:r w:rsidRPr="007740A3">
        <w:t xml:space="preserve"> institutions nationwide and locally are experiencing a rise in efforts to censor or restrict library materials - undermining the intellectual freedom libraries uphold, negatively impacting academic inquiry, and diminishing professional expertise - it is crucial to protect and reaffirm the critical role of librarians in developing diverse, curriculum-responsive </w:t>
      </w:r>
      <w:proofErr w:type="gramStart"/>
      <w:r w:rsidRPr="007740A3">
        <w:t>collections</w:t>
      </w:r>
      <w:r>
        <w:t>;</w:t>
      </w:r>
      <w:proofErr w:type="gramEnd"/>
    </w:p>
    <w:p w14:paraId="37F15F03" w14:textId="77777777" w:rsidR="007740A3" w:rsidRPr="007740A3" w:rsidRDefault="007740A3" w:rsidP="007740A3"/>
    <w:p w14:paraId="2C580F3D" w14:textId="77777777" w:rsidR="007740A3" w:rsidRDefault="007740A3" w:rsidP="007740A3">
      <w:r w:rsidRPr="007740A3">
        <w:t xml:space="preserve">Whereas, collection development and deselection of materials are fundamentally tied to curriculum and instruction, thus falling within the Academic Senate’s 10+1 purview to oversee matters concerning curriculum, educational programs, and standards or policies regarding student preparation and </w:t>
      </w:r>
      <w:proofErr w:type="gramStart"/>
      <w:r w:rsidRPr="007740A3">
        <w:t>success;</w:t>
      </w:r>
      <w:proofErr w:type="gramEnd"/>
      <w:r w:rsidRPr="007740A3">
        <w:t> </w:t>
      </w:r>
    </w:p>
    <w:p w14:paraId="66DD072F" w14:textId="77777777" w:rsidR="007740A3" w:rsidRPr="007740A3" w:rsidRDefault="007740A3" w:rsidP="007740A3"/>
    <w:p w14:paraId="494D6AA1" w14:textId="77777777" w:rsidR="007740A3" w:rsidRDefault="007740A3" w:rsidP="007740A3">
      <w:proofErr w:type="gramStart"/>
      <w:r w:rsidRPr="007740A3">
        <w:t>Whereas,</w:t>
      </w:r>
      <w:proofErr w:type="gramEnd"/>
      <w:r w:rsidRPr="007740A3">
        <w:t xml:space="preserve"> collegial consultation on academic and professional matters requires that faculty—particularly librarians—be central partners in drafting policies that guide selection and maintenance of library collections, ensuring alignment with institutional mission and equitable access to relevant and diverse materials; and </w:t>
      </w:r>
    </w:p>
    <w:p w14:paraId="1588F589" w14:textId="77777777" w:rsidR="007740A3" w:rsidRPr="007740A3" w:rsidRDefault="007740A3" w:rsidP="007740A3"/>
    <w:p w14:paraId="3A0089AA" w14:textId="77777777" w:rsidR="007740A3" w:rsidRDefault="007740A3" w:rsidP="007740A3">
      <w:proofErr w:type="gramStart"/>
      <w:r w:rsidRPr="007740A3">
        <w:t>Whereas,</w:t>
      </w:r>
      <w:proofErr w:type="gramEnd"/>
      <w:r w:rsidRPr="007740A3">
        <w:t xml:space="preserve"> the existing AR 4040 focuses heavily on “material and book challenges” without addressing core library commitments to curricular needs with access to multiple formats, alignment with academic programs, and the intellectual freedom principles articulated by the American Library Association and other professional bodies. </w:t>
      </w:r>
    </w:p>
    <w:p w14:paraId="39649FBE" w14:textId="77777777" w:rsidR="007740A3" w:rsidRPr="007740A3" w:rsidRDefault="007740A3" w:rsidP="007740A3"/>
    <w:p w14:paraId="41AE1D2B" w14:textId="77777777" w:rsidR="007740A3" w:rsidRDefault="007740A3" w:rsidP="007740A3">
      <w:r w:rsidRPr="007740A3">
        <w:t xml:space="preserve">Resolved, that the Santa Ana College Academic Senate formally request a comprehensive review and revision of Administrative Regulation 4040 (Library and Learning Support Services) in collaboration with librarians from both Santa Ana College and Santiago Canyon College, ensuring it accurately reflects curriculum-aligned selection and deselection criteria, consistent with professional standards of library </w:t>
      </w:r>
      <w:proofErr w:type="gramStart"/>
      <w:r w:rsidRPr="007740A3">
        <w:t>science;</w:t>
      </w:r>
      <w:proofErr w:type="gramEnd"/>
      <w:r w:rsidRPr="007740A3">
        <w:t> </w:t>
      </w:r>
    </w:p>
    <w:p w14:paraId="16560A3C" w14:textId="77777777" w:rsidR="007740A3" w:rsidRPr="007740A3" w:rsidRDefault="007740A3" w:rsidP="007740A3"/>
    <w:p w14:paraId="4FA1CF5D" w14:textId="77777777" w:rsidR="007740A3" w:rsidRDefault="007740A3" w:rsidP="007740A3">
      <w:r w:rsidRPr="007740A3">
        <w:t xml:space="preserve">Resolved, that the Santa Ana College Academic Senate </w:t>
      </w:r>
      <w:proofErr w:type="gramStart"/>
      <w:r w:rsidRPr="007740A3">
        <w:t>affirm</w:t>
      </w:r>
      <w:proofErr w:type="gramEnd"/>
      <w:r w:rsidRPr="007740A3">
        <w:t xml:space="preserve"> this matter as a 10+1 issue, recognizing that library collection development, management, and instructional support are central to academic and professional matters relating to curriculum and student success, thus necessitating collegial consultation with </w:t>
      </w:r>
      <w:proofErr w:type="gramStart"/>
      <w:r w:rsidRPr="007740A3">
        <w:t>faculty;</w:t>
      </w:r>
      <w:proofErr w:type="gramEnd"/>
      <w:r w:rsidRPr="007740A3">
        <w:t>  </w:t>
      </w:r>
    </w:p>
    <w:p w14:paraId="317E9B76" w14:textId="77777777" w:rsidR="007740A3" w:rsidRDefault="007740A3" w:rsidP="007740A3"/>
    <w:p w14:paraId="767715BC" w14:textId="77777777" w:rsidR="007740A3" w:rsidRDefault="007740A3" w:rsidP="007740A3"/>
    <w:p w14:paraId="2D054B9D" w14:textId="77777777" w:rsidR="007740A3" w:rsidRDefault="007740A3" w:rsidP="007740A3"/>
    <w:p w14:paraId="10DC2C34" w14:textId="17C0EF29" w:rsidR="007740A3" w:rsidRPr="007740A3" w:rsidRDefault="007740A3" w:rsidP="007740A3"/>
    <w:p w14:paraId="0D9D0D56" w14:textId="77777777" w:rsidR="007740A3" w:rsidRPr="007740A3" w:rsidRDefault="007740A3" w:rsidP="007740A3">
      <w:r w:rsidRPr="007740A3">
        <w:lastRenderedPageBreak/>
        <w:t>Resolved, that AR 4040 explicitly acknowledge and integrate librarians’ expertise in assessing and developing collections that support academic programs, professional development, and lifelong learning for the district’s diverse communities, in accordance with Title 5 §53200 and Education Code §§70902(b)(7) which identify “policies for faculty professional development activities” and “curriculum” as areas of faculty primacy. </w:t>
      </w:r>
    </w:p>
    <w:p w14:paraId="577BB659" w14:textId="77777777" w:rsidR="00CF7F63" w:rsidRDefault="00CF7F63" w:rsidP="00C348B8">
      <w:pPr>
        <w:rPr>
          <w:b/>
          <w:bCs/>
        </w:rPr>
      </w:pPr>
    </w:p>
    <w:p w14:paraId="30455CDB" w14:textId="36D9AAD6"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E54E" w14:textId="77777777" w:rsidR="00FC2018" w:rsidRDefault="00FC2018" w:rsidP="00541729">
      <w:r>
        <w:separator/>
      </w:r>
    </w:p>
  </w:endnote>
  <w:endnote w:type="continuationSeparator" w:id="0">
    <w:p w14:paraId="0BC977D6" w14:textId="77777777" w:rsidR="00FC2018" w:rsidRDefault="00FC2018"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171E" w14:textId="77777777" w:rsidR="00FC2018" w:rsidRDefault="00FC2018" w:rsidP="00541729">
      <w:r>
        <w:separator/>
      </w:r>
    </w:p>
  </w:footnote>
  <w:footnote w:type="continuationSeparator" w:id="0">
    <w:p w14:paraId="06A64987" w14:textId="77777777" w:rsidR="00FC2018" w:rsidRDefault="00FC2018"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3204FB"/>
    <w:rsid w:val="003367E2"/>
    <w:rsid w:val="00347571"/>
    <w:rsid w:val="00372A77"/>
    <w:rsid w:val="00394E8C"/>
    <w:rsid w:val="003C14A0"/>
    <w:rsid w:val="003C3EB3"/>
    <w:rsid w:val="0040009B"/>
    <w:rsid w:val="0041692F"/>
    <w:rsid w:val="00450158"/>
    <w:rsid w:val="00456129"/>
    <w:rsid w:val="00487C6B"/>
    <w:rsid w:val="00492F91"/>
    <w:rsid w:val="00497DB0"/>
    <w:rsid w:val="00511080"/>
    <w:rsid w:val="00511CD3"/>
    <w:rsid w:val="00537017"/>
    <w:rsid w:val="00537399"/>
    <w:rsid w:val="00541729"/>
    <w:rsid w:val="00564755"/>
    <w:rsid w:val="00574E90"/>
    <w:rsid w:val="005866F6"/>
    <w:rsid w:val="005B17E2"/>
    <w:rsid w:val="0063521E"/>
    <w:rsid w:val="00681007"/>
    <w:rsid w:val="00694875"/>
    <w:rsid w:val="006D23F4"/>
    <w:rsid w:val="006D4A4D"/>
    <w:rsid w:val="007740A3"/>
    <w:rsid w:val="00774B23"/>
    <w:rsid w:val="007B60F2"/>
    <w:rsid w:val="007F332B"/>
    <w:rsid w:val="00815279"/>
    <w:rsid w:val="00815DAF"/>
    <w:rsid w:val="00846FC7"/>
    <w:rsid w:val="008567DF"/>
    <w:rsid w:val="00883624"/>
    <w:rsid w:val="008A54B5"/>
    <w:rsid w:val="008B4BBE"/>
    <w:rsid w:val="008F302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HNYXMCCMVK3K-464-1166</_dlc_DocId>
    <_dlc_DocIdUrl xmlns="431189f8-a51b-453f-9f0c-3a0b3b65b12f">
      <Url>https://www.sac.edu/President/AcademicSenate/_layouts/15/DocIdRedir.aspx?ID=HNYXMCCMVK3K-464-1166</Url>
      <Description>HNYXMCCMVK3K-464-1166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06DA3227-6A0B-4DC1-841E-33E4F4851A11}"/>
</file>

<file path=customXml/itemProps4.xml><?xml version="1.0" encoding="utf-8"?>
<ds:datastoreItem xmlns:ds="http://schemas.openxmlformats.org/officeDocument/2006/customXml" ds:itemID="{CCD064C4-4F7B-40F6-A15D-419D7DA1CF35}"/>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2025-05-10T17:47:00Z</dcterms:created>
  <dcterms:modified xsi:type="dcterms:W3CDTF">2025-05-10T17:47:00Z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f5cd0d5f-fb3e-4be6-89c6-2b49b5264dcd</vt:lpwstr>
  </property>
</Properties>
</file>