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Lines w:val="0"/>
        <w:widowControl w:val="0"/>
        <w:spacing w:after="0" w:before="0" w:lineRule="auto"/>
        <w:jc w:val="left"/>
        <w:rPr>
          <w:rFonts w:ascii="Helvetica" w:cs="Helvetica" w:eastAsia="Helvetica" w:hAnsi="Helvetic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100" w:before="0" w:lineRule="auto"/>
        <w:ind w:left="360" w:firstLine="0"/>
        <w:jc w:val="center"/>
        <w:rPr>
          <w:rFonts w:ascii="Helvetica" w:cs="Helvetica" w:eastAsia="Helvetica" w:hAnsi="Helvetica"/>
          <w:b w:val="1"/>
          <w:sz w:val="36"/>
          <w:szCs w:val="36"/>
        </w:rPr>
      </w:pPr>
      <w:r w:rsidDel="00000000" w:rsidR="00000000" w:rsidRPr="00000000">
        <w:rPr>
          <w:rFonts w:ascii="Helvetica" w:cs="Helvetica" w:eastAsia="Helvetica" w:hAnsi="Helvetica"/>
          <w:b w:val="1"/>
          <w:sz w:val="36"/>
          <w:szCs w:val="36"/>
          <w:rtl w:val="0"/>
        </w:rPr>
        <w:t xml:space="preserve">GP Breakout Session: Transitions </w:t>
      </w:r>
    </w:p>
    <w:p w:rsidR="00000000" w:rsidDel="00000000" w:rsidP="00000000" w:rsidRDefault="00000000" w:rsidRPr="00000000" w14:paraId="00000003">
      <w:pPr>
        <w:widowControl w:val="0"/>
        <w:spacing w:after="100" w:before="0" w:lineRule="auto"/>
        <w:jc w:val="center"/>
        <w:rPr>
          <w:rFonts w:ascii="Helvetica" w:cs="Helvetica" w:eastAsia="Helvetica" w:hAnsi="Helvetica"/>
          <w:b w:val="1"/>
          <w:sz w:val="28"/>
          <w:szCs w:val="28"/>
        </w:rPr>
      </w:pPr>
      <w:r w:rsidDel="00000000" w:rsidR="00000000" w:rsidRPr="00000000">
        <w:rPr>
          <w:rFonts w:ascii="Helvetica" w:cs="Helvetica" w:eastAsia="Helvetica" w:hAnsi="Helvetica"/>
          <w:sz w:val="24"/>
          <w:szCs w:val="24"/>
          <w:rtl w:val="0"/>
        </w:rPr>
        <w:t xml:space="preserve">May 13,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360" w:firstLine="0"/>
        <w:jc w:val="center"/>
        <w:rPr>
          <w:rFonts w:ascii="Helvetica" w:cs="Helvetica" w:eastAsia="Helvetica" w:hAnsi="Helvetica"/>
          <w:sz w:val="24"/>
          <w:szCs w:val="24"/>
        </w:rPr>
      </w:pPr>
      <w:r w:rsidDel="00000000" w:rsidR="00000000" w:rsidRPr="00000000">
        <w:rPr>
          <w:rFonts w:ascii="Helvetica" w:cs="Helvetica" w:eastAsia="Helvetica" w:hAnsi="Helvetica"/>
          <w:sz w:val="24"/>
          <w:szCs w:val="24"/>
          <w:rtl w:val="0"/>
        </w:rPr>
        <w:t xml:space="preserve">Session co-hosts: Reyna Cummings, Basti de la Lopez, and Raquel Requena Ramirez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0" w:firstLine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9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5100"/>
        <w:gridCol w:w="8055"/>
        <w:tblGridChange w:id="0">
          <w:tblGrid>
            <w:gridCol w:w="1140"/>
            <w:gridCol w:w="5100"/>
            <w:gridCol w:w="8055"/>
          </w:tblGrid>
        </w:tblGridChange>
      </w:tblGrid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Helvetica" w:cs="Helvetica" w:eastAsia="Helvetica" w:hAnsi="Helvetica"/>
                <w:sz w:val="28"/>
                <w:szCs w:val="28"/>
              </w:rPr>
            </w:pPr>
            <w:r w:rsidDel="00000000" w:rsidR="00000000" w:rsidRPr="00000000">
              <w:rPr>
                <w:rFonts w:ascii="Helvetica" w:cs="Helvetica" w:eastAsia="Helvetica" w:hAnsi="Helvetica"/>
                <w:b w:val="1"/>
                <w:sz w:val="28"/>
                <w:szCs w:val="28"/>
                <w:rtl w:val="0"/>
              </w:rPr>
              <w:t xml:space="preserve">Introductions: </w:t>
            </w:r>
            <w:r w:rsidDel="00000000" w:rsidR="00000000" w:rsidRPr="00000000">
              <w:rPr>
                <w:rFonts w:ascii="Helvetica" w:cs="Helvetica" w:eastAsia="Helvetica" w:hAnsi="Helvetica"/>
                <w:sz w:val="28"/>
                <w:szCs w:val="28"/>
                <w:rtl w:val="0"/>
              </w:rPr>
              <w:t xml:space="preserve">Share name, role, why you joined this session!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Helvetica" w:cs="Helvetica" w:eastAsia="Helvetica" w:hAnsi="Helvetic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Helvetica" w:cs="Helvetica" w:eastAsia="Helvetica" w:hAnsi="Helvetica"/>
                <w:sz w:val="28"/>
                <w:szCs w:val="28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8"/>
                <w:szCs w:val="28"/>
                <w:rtl w:val="0"/>
              </w:rPr>
              <w:t xml:space="preserve">Name of session participants: 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Helvetica" w:cs="Helvetica" w:eastAsia="Helvetica" w:hAnsi="Helvetic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0" w:firstLine="90"/>
              <w:rPr>
                <w:rFonts w:ascii="Helvetica" w:cs="Helvetica" w:eastAsia="Helvetica" w:hAnsi="Helvetic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elvetica" w:cs="Helvetica" w:eastAsia="Helvetica" w:hAnsi="Helvetic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Helvetica" w:cs="Helvetica" w:eastAsia="Helvetica" w:hAnsi="Helvetic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Helvetica" w:cs="Helvetica" w:eastAsia="Helvetica" w:hAnsi="Helvetic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0" w:firstLine="0"/>
        <w:rPr/>
      </w:pPr>
      <w:r w:rsidDel="00000000" w:rsidR="00000000" w:rsidRPr="00000000">
        <w:rPr>
          <w:rFonts w:ascii="Helvetica" w:cs="Helvetica" w:eastAsia="Helvetica" w:hAnsi="Helvetica"/>
          <w:b w:val="1"/>
          <w:sz w:val="28"/>
          <w:szCs w:val="28"/>
          <w:rtl w:val="0"/>
        </w:rPr>
        <w:t xml:space="preserve">Goals related to transitions - scale of adoption </w:t>
      </w:r>
      <w:r w:rsidDel="00000000" w:rsidR="00000000" w:rsidRPr="00000000">
        <w:rPr>
          <w:rtl w:val="0"/>
        </w:rPr>
      </w:r>
    </w:p>
    <w:tbl>
      <w:tblPr>
        <w:tblStyle w:val="Table2"/>
        <w:tblW w:w="14355.0" w:type="dxa"/>
        <w:jc w:val="left"/>
        <w:tblInd w:w="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65"/>
        <w:gridCol w:w="315"/>
        <w:gridCol w:w="3075"/>
        <w:tblGridChange w:id="0">
          <w:tblGrid>
            <w:gridCol w:w="10965"/>
            <w:gridCol w:w="315"/>
            <w:gridCol w:w="3075"/>
          </w:tblGrid>
        </w:tblGridChange>
      </w:tblGrid>
      <w:tr>
        <w:trPr>
          <w:trHeight w:val="330" w:hRule="atLeast"/>
        </w:trPr>
        <w:tc>
          <w:tcPr>
            <w:tcBorders>
              <w:top w:color="5b9bd5" w:space="0" w:sz="6" w:val="single"/>
              <w:left w:color="5b9bd5" w:space="0" w:sz="6" w:val="single"/>
              <w:bottom w:color="000000" w:space="0" w:sz="6" w:val="single"/>
              <w:right w:color="5b9bd5" w:space="0" w:sz="6" w:val="single"/>
            </w:tcBorders>
            <w:shd w:fill="5b9bd5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rebuchet MS" w:cs="Trebuchet MS" w:eastAsia="Trebuchet MS" w:hAnsi="Trebuchet MS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24"/>
                <w:szCs w:val="24"/>
                <w:rtl w:val="0"/>
              </w:rPr>
              <w:t xml:space="preserve">Goals - what it looks like to be implementing GP redesign “at scale”</w:t>
            </w:r>
          </w:p>
        </w:tc>
        <w:tc>
          <w:tcPr>
            <w:tcBorders>
              <w:top w:color="5b9bd5" w:space="0" w:sz="6" w:val="single"/>
              <w:left w:color="5b9bd5" w:space="0" w:sz="6" w:val="single"/>
              <w:bottom w:color="000000" w:space="0" w:sz="6" w:val="single"/>
              <w:right w:color="5b9bd5" w:space="0" w:sz="6" w:val="single"/>
            </w:tcBorders>
            <w:shd w:fill="5b9bd5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6" w:val="single"/>
              <w:left w:color="5b9bd5" w:space="0" w:sz="6" w:val="single"/>
              <w:bottom w:color="000000" w:space="0" w:sz="6" w:val="single"/>
              <w:right w:color="5b9bd5" w:space="0" w:sz="6" w:val="single"/>
            </w:tcBorders>
            <w:shd w:fill="5b9bd5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rebuchet MS" w:cs="Trebuchet MS" w:eastAsia="Trebuchet MS" w:hAnsi="Trebuchet MS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24"/>
                <w:szCs w:val="24"/>
                <w:rtl w:val="0"/>
              </w:rPr>
              <w:t xml:space="preserve">SAC status</w:t>
            </w:r>
          </w:p>
        </w:tc>
      </w:tr>
      <w:tr>
        <w:trPr>
          <w:trHeight w:val="11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2a. Every new student is helped to explore career/college options, choose a program of study, and develop a full-time program plan as soon as possible.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Scaling in Progress</w:t>
            </w:r>
          </w:p>
        </w:tc>
      </w:tr>
      <w:tr>
        <w:trPr>
          <w:trHeight w:val="8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2e. Intensive support is provided to help very poorly prepared students to succeed in college- level courses as soon as possible.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Planning to Scale</w:t>
            </w:r>
          </w:p>
        </w:tc>
      </w:tr>
      <w:tr>
        <w:trPr>
          <w:trHeight w:val="105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2b. Special supports are provided to help academically underprepared students to succeed in the "gateway" courses for the college's major program areas.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Planning to Scale</w:t>
            </w:r>
          </w:p>
        </w:tc>
      </w:tr>
    </w:tbl>
    <w:p w:rsidR="00000000" w:rsidDel="00000000" w:rsidP="00000000" w:rsidRDefault="00000000" w:rsidRPr="00000000" w14:paraId="0000001F">
      <w:pPr>
        <w:ind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Take inventory &amp; brainstorm </w:t>
      </w:r>
    </w:p>
    <w:p w:rsidR="00000000" w:rsidDel="00000000" w:rsidP="00000000" w:rsidRDefault="00000000" w:rsidRPr="00000000" w14:paraId="00000022">
      <w:pPr>
        <w:ind w:left="-360" w:firstLine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Step 1: Where we are now - </w:t>
      </w:r>
      <w:r w:rsidDel="00000000" w:rsidR="00000000" w:rsidRPr="00000000">
        <w:rPr>
          <w:i w:val="1"/>
          <w:sz w:val="24"/>
          <w:szCs w:val="24"/>
          <w:rtl w:val="0"/>
        </w:rPr>
        <w:t xml:space="preserve">What are the current practices/progress related to this </w:t>
      </w:r>
      <w:r w:rsidDel="00000000" w:rsidR="00000000" w:rsidRPr="00000000">
        <w:rPr>
          <w:i w:val="1"/>
          <w:sz w:val="24"/>
          <w:szCs w:val="24"/>
          <w:rtl w:val="0"/>
        </w:rPr>
        <w:t xml:space="preserve">goal</w:t>
      </w:r>
      <w:r w:rsidDel="00000000" w:rsidR="00000000" w:rsidRPr="00000000">
        <w:rPr>
          <w:i w:val="1"/>
          <w:sz w:val="24"/>
          <w:szCs w:val="24"/>
          <w:rtl w:val="0"/>
        </w:rPr>
        <w:t xml:space="preserve">?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left="-360" w:firstLine="36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Step 2: Path </w:t>
      </w:r>
      <w:r w:rsidDel="00000000" w:rsidR="00000000" w:rsidRPr="00000000">
        <w:rPr>
          <w:sz w:val="24"/>
          <w:szCs w:val="24"/>
          <w:rtl w:val="0"/>
        </w:rPr>
        <w:t xml:space="preserve">ahead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i w:val="1"/>
          <w:sz w:val="24"/>
          <w:szCs w:val="24"/>
          <w:rtl w:val="0"/>
        </w:rPr>
        <w:t xml:space="preserve">How could we better support students (or support more students) in this area?</w:t>
      </w:r>
    </w:p>
    <w:tbl>
      <w:tblPr>
        <w:tblStyle w:val="Table3"/>
        <w:tblW w:w="15608.0913668991" w:type="dxa"/>
        <w:jc w:val="left"/>
        <w:tblInd w:w="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35"/>
        <w:gridCol w:w="510"/>
        <w:gridCol w:w="5685"/>
        <w:gridCol w:w="5685"/>
        <w:gridCol w:w="1193.091366899101"/>
        <w:tblGridChange w:id="0">
          <w:tblGrid>
            <w:gridCol w:w="2535"/>
            <w:gridCol w:w="510"/>
            <w:gridCol w:w="5685"/>
            <w:gridCol w:w="5685"/>
            <w:gridCol w:w="1193.091366899101"/>
          </w:tblGrid>
        </w:tblGridChange>
      </w:tblGrid>
      <w:tr>
        <w:trPr>
          <w:trHeight w:val="330" w:hRule="atLeast"/>
        </w:trPr>
        <w:tc>
          <w:tcPr>
            <w:tcBorders>
              <w:top w:color="5b9bd5" w:space="0" w:sz="6" w:val="single"/>
              <w:left w:color="5b9bd5" w:space="0" w:sz="6" w:val="single"/>
              <w:bottom w:color="000000" w:space="0" w:sz="6" w:val="single"/>
              <w:right w:color="5b9bd5" w:space="0" w:sz="6" w:val="single"/>
            </w:tcBorders>
            <w:shd w:fill="5b9bd5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firstLine="0"/>
              <w:rPr>
                <w:rFonts w:ascii="Trebuchet MS" w:cs="Trebuchet MS" w:eastAsia="Trebuchet MS" w:hAnsi="Trebuchet MS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24"/>
                <w:szCs w:val="24"/>
                <w:rtl w:val="0"/>
              </w:rPr>
              <w:t xml:space="preserve">Goals </w:t>
            </w:r>
          </w:p>
        </w:tc>
        <w:tc>
          <w:tcPr>
            <w:tcBorders>
              <w:top w:color="5b9bd5" w:space="0" w:sz="6" w:val="single"/>
              <w:left w:color="5b9bd5" w:space="0" w:sz="6" w:val="single"/>
              <w:bottom w:color="000000" w:space="0" w:sz="6" w:val="single"/>
              <w:right w:color="5b9bd5" w:space="0" w:sz="6" w:val="single"/>
            </w:tcBorders>
            <w:shd w:fill="5b9bd5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firstLine="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6" w:val="single"/>
              <w:left w:color="5b9bd5" w:space="0" w:sz="6" w:val="single"/>
              <w:bottom w:color="000000" w:space="0" w:sz="6" w:val="single"/>
              <w:right w:color="5b9bd5" w:space="0" w:sz="6" w:val="single"/>
            </w:tcBorders>
            <w:shd w:fill="5b9bd5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firstLine="90"/>
              <w:rPr>
                <w:rFonts w:ascii="Trebuchet MS" w:cs="Trebuchet MS" w:eastAsia="Trebuchet MS" w:hAnsi="Trebuchet MS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24"/>
                <w:szCs w:val="24"/>
                <w:rtl w:val="0"/>
              </w:rPr>
              <w:t xml:space="preserve">1) Where we are now - current practices/progress </w:t>
            </w:r>
          </w:p>
        </w:tc>
        <w:tc>
          <w:tcPr>
            <w:tcBorders>
              <w:top w:color="5b9bd5" w:space="0" w:sz="6" w:val="single"/>
              <w:left w:color="5b9bd5" w:space="0" w:sz="6" w:val="single"/>
              <w:bottom w:color="000000" w:space="0" w:sz="6" w:val="single"/>
              <w:right w:color="5b9bd5" w:space="0" w:sz="6" w:val="single"/>
            </w:tcBorders>
            <w:shd w:fill="5b9bd5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firstLine="90"/>
              <w:rPr>
                <w:rFonts w:ascii="Trebuchet MS" w:cs="Trebuchet MS" w:eastAsia="Trebuchet MS" w:hAnsi="Trebuchet MS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24"/>
                <w:szCs w:val="24"/>
                <w:rtl w:val="0"/>
              </w:rPr>
              <w:t xml:space="preserve">2) </w:t>
            </w: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24"/>
                <w:szCs w:val="24"/>
                <w:rtl w:val="0"/>
              </w:rPr>
              <w:t xml:space="preserve">How to better support students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ind w:firstLine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2a. Every new student is helped to explore career/college options, choose a program of study, and develop a full-time program plan as soon as possible.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firstLine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6"/>
              </w:numPr>
              <w:ind w:left="720" w:hanging="360"/>
              <w:rPr>
                <w:rFonts w:ascii="Trebuchet MS" w:cs="Trebuchet MS" w:eastAsia="Trebuchet MS" w:hAnsi="Trebuchet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Super Strong assessment delivered to SAUSD, Santiago, and Garden Grove HS seniors 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6"/>
              </w:numPr>
              <w:ind w:left="720" w:hanging="360"/>
              <w:rPr>
                <w:rFonts w:ascii="Trebuchet MS" w:cs="Trebuchet MS" w:eastAsia="Trebuchet MS" w:hAnsi="Trebuchet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Early college offerings (High school articulation &amp; Dual Enrollment) allow high school students to explore various career pathways and make an informed decision on the career they want to follow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6"/>
              </w:numPr>
              <w:ind w:left="720" w:hanging="360"/>
              <w:rPr>
                <w:rFonts w:ascii="Trebuchet MS" w:cs="Trebuchet MS" w:eastAsia="Trebuchet MS" w:hAnsi="Trebuchet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Early Decision efforts allow incoming high school senior to walk away with abbreviated ed plan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6"/>
              </w:numPr>
              <w:ind w:left="720" w:hanging="360"/>
              <w:rPr>
                <w:rFonts w:ascii="Trebuchet MS" w:cs="Trebuchet MS" w:eastAsia="Trebuchet MS" w:hAnsi="Trebuchet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High school and adult education students are able to participate in pathway exploration events that give them insight on career education pathways available at SAC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0" w:firstLine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firstLine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2e. Intensive support is provided to help very poorly prepared students to succeed in college- level courses as soon as possible.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firstLine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5"/>
              </w:numPr>
              <w:ind w:left="720" w:hanging="360"/>
              <w:rPr>
                <w:rFonts w:ascii="Trebuchet MS" w:cs="Trebuchet MS" w:eastAsia="Trebuchet MS" w:hAnsi="Trebuchet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Development of non-credit support labs for Math &amp; English sections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0" w:firstLine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5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firstLine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2b. Special supports are provided to help academically underprepared students to succeed in the "gateway" courses for the college's major program areas.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firstLine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3"/>
              </w:numPr>
              <w:ind w:left="720" w:hanging="360"/>
              <w:rPr>
                <w:rFonts w:ascii="Trebuchet MS" w:cs="Trebuchet MS" w:eastAsia="Trebuchet MS" w:hAnsi="Trebuchet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High school articulation/Dual enrollment offerings prepare students to succeed in introductory/gateway courses and better prepare students to succeed in subsequent courses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3"/>
              </w:numPr>
              <w:ind w:left="720" w:hanging="360"/>
              <w:rPr>
                <w:rFonts w:ascii="Trebuchet MS" w:cs="Trebuchet MS" w:eastAsia="Trebuchet MS" w:hAnsi="Trebuchet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Tutoring centers (Math, Chemistry, Biology, Accounting/Business, Learning Center, etc.)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0" w:firstLine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ind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Review goals and prioritize </w:t>
      </w:r>
    </w:p>
    <w:p w:rsidR="00000000" w:rsidDel="00000000" w:rsidP="00000000" w:rsidRDefault="00000000" w:rsidRPr="00000000" w14:paraId="0000003B">
      <w:pPr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Which goal(s) should we prioritize for </w:t>
      </w:r>
      <w:r w:rsidDel="00000000" w:rsidR="00000000" w:rsidRPr="00000000">
        <w:rPr>
          <w:sz w:val="24"/>
          <w:szCs w:val="24"/>
          <w:rtl w:val="0"/>
        </w:rPr>
        <w:t xml:space="preserve">fall</w:t>
      </w:r>
      <w:r w:rsidDel="00000000" w:rsidR="00000000" w:rsidRPr="00000000">
        <w:rPr>
          <w:sz w:val="24"/>
          <w:szCs w:val="24"/>
          <w:rtl w:val="0"/>
        </w:rPr>
        <w:t xml:space="preserve">? 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Review list above, choose 1-2 goals to focus on for fall</w:t>
      </w:r>
    </w:p>
    <w:tbl>
      <w:tblPr>
        <w:tblStyle w:val="Table4"/>
        <w:tblW w:w="18675.0" w:type="dxa"/>
        <w:jc w:val="left"/>
        <w:tblInd w:w="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85"/>
        <w:gridCol w:w="4380"/>
        <w:gridCol w:w="7020"/>
        <w:gridCol w:w="4290"/>
        <w:tblGridChange w:id="0">
          <w:tblGrid>
            <w:gridCol w:w="2985"/>
            <w:gridCol w:w="4380"/>
            <w:gridCol w:w="7020"/>
            <w:gridCol w:w="4290"/>
          </w:tblGrid>
        </w:tblGridChange>
      </w:tblGrid>
      <w:tr>
        <w:trPr>
          <w:trHeight w:val="330" w:hRule="atLeast"/>
        </w:trPr>
        <w:tc>
          <w:tcPr>
            <w:tcBorders>
              <w:top w:color="5b9bd5" w:space="0" w:sz="6" w:val="single"/>
              <w:left w:color="5b9bd5" w:space="0" w:sz="6" w:val="single"/>
              <w:bottom w:color="000000" w:space="0" w:sz="6" w:val="single"/>
              <w:right w:color="5b9bd5" w:space="0" w:sz="6" w:val="single"/>
            </w:tcBorders>
            <w:shd w:fill="5b9bd5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Trebuchet MS" w:cs="Trebuchet MS" w:eastAsia="Trebuchet MS" w:hAnsi="Trebuchet MS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24"/>
                <w:szCs w:val="24"/>
                <w:rtl w:val="0"/>
              </w:rPr>
              <w:t xml:space="preserve">Goal 1</w:t>
            </w:r>
          </w:p>
        </w:tc>
        <w:tc>
          <w:tcPr>
            <w:tcBorders>
              <w:top w:color="5b9bd5" w:space="0" w:sz="6" w:val="single"/>
              <w:left w:color="5b9bd5" w:space="0" w:sz="6" w:val="single"/>
              <w:bottom w:color="000000" w:space="0" w:sz="6" w:val="single"/>
              <w:right w:color="5b9bd5" w:space="0" w:sz="6" w:val="single"/>
            </w:tcBorders>
            <w:shd w:fill="5b9bd5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6" w:val="single"/>
              <w:left w:color="5b9bd5" w:space="0" w:sz="6" w:val="single"/>
              <w:bottom w:color="000000" w:space="0" w:sz="6" w:val="single"/>
              <w:right w:color="5b9bd5" w:space="0" w:sz="6" w:val="single"/>
            </w:tcBorders>
            <w:shd w:fill="5b9bd5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Trebuchet MS" w:cs="Trebuchet MS" w:eastAsia="Trebuchet MS" w:hAnsi="Trebuchet MS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24"/>
                <w:szCs w:val="24"/>
                <w:rtl w:val="0"/>
              </w:rPr>
              <w:t xml:space="preserve">(Goal 2) </w:t>
            </w:r>
          </w:p>
        </w:tc>
      </w:tr>
      <w:tr>
        <w:trPr>
          <w:trHeight w:val="11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0" w:firstLine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firstLine="0"/>
        <w:rPr>
          <w:color w:val="666666"/>
          <w:sz w:val="24"/>
          <w:szCs w:val="24"/>
          <w:shd w:fill="c9daf8" w:val="clear"/>
        </w:rPr>
      </w:pPr>
      <w:r w:rsidDel="00000000" w:rsidR="00000000" w:rsidRPr="00000000">
        <w:rPr>
          <w:sz w:val="24"/>
          <w:szCs w:val="24"/>
          <w:rtl w:val="0"/>
        </w:rPr>
        <w:t xml:space="preserve">Step 1: For the 1-2 goals your group selected above, review the action items identified so far </w:t>
      </w:r>
      <w:r w:rsidDel="00000000" w:rsidR="00000000" w:rsidRPr="00000000">
        <w:rPr>
          <w:color w:val="666666"/>
          <w:sz w:val="24"/>
          <w:szCs w:val="24"/>
          <w:shd w:fill="c9daf8" w:val="clear"/>
          <w:rtl w:val="0"/>
        </w:rPr>
        <w:t xml:space="preserve">[grey out goals you will not address in fall]</w:t>
      </w:r>
    </w:p>
    <w:p w:rsidR="00000000" w:rsidDel="00000000" w:rsidP="00000000" w:rsidRDefault="00000000" w:rsidRPr="00000000" w14:paraId="0000004B">
      <w:pPr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Step 2: Do these action items align with your group's discussion about how to better support students? Update as needed</w:t>
      </w:r>
    </w:p>
    <w:tbl>
      <w:tblPr>
        <w:tblStyle w:val="Table5"/>
        <w:tblW w:w="14370.0" w:type="dxa"/>
        <w:jc w:val="left"/>
        <w:tblInd w:w="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85"/>
        <w:gridCol w:w="165"/>
        <w:gridCol w:w="6930"/>
        <w:gridCol w:w="4290"/>
        <w:tblGridChange w:id="0">
          <w:tblGrid>
            <w:gridCol w:w="2985"/>
            <w:gridCol w:w="165"/>
            <w:gridCol w:w="6930"/>
            <w:gridCol w:w="4290"/>
          </w:tblGrid>
        </w:tblGridChange>
      </w:tblGrid>
      <w:tr>
        <w:trPr>
          <w:trHeight w:val="330" w:hRule="atLeast"/>
        </w:trPr>
        <w:tc>
          <w:tcPr>
            <w:tcBorders>
              <w:top w:color="5b9bd5" w:space="0" w:sz="6" w:val="single"/>
              <w:left w:color="5b9bd5" w:space="0" w:sz="6" w:val="single"/>
              <w:bottom w:color="000000" w:space="0" w:sz="6" w:val="single"/>
              <w:right w:color="5b9bd5" w:space="0" w:sz="6" w:val="single"/>
            </w:tcBorders>
            <w:shd w:fill="5b9bd5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firstLine="0"/>
              <w:rPr>
                <w:rFonts w:ascii="Trebuchet MS" w:cs="Trebuchet MS" w:eastAsia="Trebuchet MS" w:hAnsi="Trebuchet MS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24"/>
                <w:szCs w:val="24"/>
                <w:rtl w:val="0"/>
              </w:rPr>
              <w:t xml:space="preserve">Goals </w:t>
            </w:r>
          </w:p>
        </w:tc>
        <w:tc>
          <w:tcPr>
            <w:tcBorders>
              <w:top w:color="5b9bd5" w:space="0" w:sz="6" w:val="single"/>
              <w:left w:color="5b9bd5" w:space="0" w:sz="6" w:val="single"/>
              <w:bottom w:color="000000" w:space="0" w:sz="6" w:val="single"/>
              <w:right w:color="5b9bd5" w:space="0" w:sz="6" w:val="single"/>
            </w:tcBorders>
            <w:shd w:fill="5b9bd5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ind w:firstLine="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6" w:val="single"/>
              <w:left w:color="5b9bd5" w:space="0" w:sz="6" w:val="single"/>
              <w:bottom w:color="000000" w:space="0" w:sz="6" w:val="single"/>
              <w:right w:color="5b9bd5" w:space="0" w:sz="6" w:val="single"/>
            </w:tcBorders>
            <w:shd w:fill="5b9bd5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ind w:firstLine="0"/>
              <w:rPr>
                <w:rFonts w:ascii="Trebuchet MS" w:cs="Trebuchet MS" w:eastAsia="Trebuchet MS" w:hAnsi="Trebuchet MS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24"/>
                <w:szCs w:val="24"/>
                <w:rtl w:val="0"/>
              </w:rPr>
              <w:t xml:space="preserve">Action items identified so far </w:t>
            </w:r>
          </w:p>
        </w:tc>
        <w:tc>
          <w:tcPr>
            <w:tcBorders>
              <w:top w:color="5b9bd5" w:space="0" w:sz="6" w:val="single"/>
              <w:left w:color="5b9bd5" w:space="0" w:sz="6" w:val="single"/>
              <w:bottom w:color="000000" w:space="0" w:sz="6" w:val="single"/>
              <w:right w:color="5b9bd5" w:space="0" w:sz="6" w:val="single"/>
            </w:tcBorders>
            <w:shd w:fill="5b9bd5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ind w:firstLine="0"/>
              <w:rPr>
                <w:rFonts w:ascii="Trebuchet MS" w:cs="Trebuchet MS" w:eastAsia="Trebuchet MS" w:hAnsi="Trebuchet MS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24"/>
                <w:szCs w:val="24"/>
                <w:rtl w:val="0"/>
              </w:rPr>
              <w:t xml:space="preserve">Updates? </w:t>
            </w:r>
          </w:p>
        </w:tc>
      </w:tr>
      <w:tr>
        <w:trPr>
          <w:trHeight w:val="11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ind w:firstLine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2a. Every new student is helped to explore career/college options, choose a program of study, and develop a full-time program plan as soon as possible.</w:t>
            </w:r>
          </w:p>
          <w:p w:rsidR="00000000" w:rsidDel="00000000" w:rsidP="00000000" w:rsidRDefault="00000000" w:rsidRPr="00000000" w14:paraId="00000051">
            <w:pPr>
              <w:widowControl w:val="0"/>
              <w:ind w:firstLine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ind w:firstLine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numPr>
                <w:ilvl w:val="0"/>
                <w:numId w:val="7"/>
              </w:numPr>
              <w:spacing w:after="0" w:before="200" w:lineRule="auto"/>
              <w:ind w:left="720" w:hanging="360"/>
              <w:rPr>
                <w:rFonts w:ascii="Trebuchet MS" w:cs="Trebuchet MS" w:eastAsia="Trebuchet MS" w:hAnsi="Trebuchet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Ensure that all programs have submitted occupations in order to adequately populate career snapshots on Guided Pathways webpages.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7"/>
              </w:numPr>
              <w:spacing w:after="0" w:before="200" w:lineRule="auto"/>
              <w:ind w:left="720" w:hanging="360"/>
              <w:rPr>
                <w:rFonts w:ascii="Trebuchet MS" w:cs="Trebuchet MS" w:eastAsia="Trebuchet MS" w:hAnsi="Trebuchet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Ensure that all students have access to a program map.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7"/>
              </w:numPr>
              <w:spacing w:after="0" w:before="200" w:lineRule="auto"/>
              <w:ind w:left="720" w:hanging="360"/>
              <w:rPr>
                <w:rFonts w:ascii="Trebuchet MS" w:cs="Trebuchet MS" w:eastAsia="Trebuchet MS" w:hAnsi="Trebuchet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Ensure that all students have access to their online educational plan.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ind w:firstLine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ind w:firstLine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2e. Intensive support is provided to help very poorly prepared students to succeed in college- level courses as soon as possible.</w:t>
            </w:r>
          </w:p>
          <w:p w:rsidR="00000000" w:rsidDel="00000000" w:rsidP="00000000" w:rsidRDefault="00000000" w:rsidRPr="00000000" w14:paraId="00000058">
            <w:pPr>
              <w:ind w:firstLine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ind w:firstLine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spacing w:after="0" w:before="200" w:lineRule="auto"/>
              <w:ind w:left="720" w:hanging="360"/>
              <w:rPr>
                <w:rFonts w:ascii="Trebuchet MS" w:cs="Trebuchet MS" w:eastAsia="Trebuchet MS" w:hAnsi="Trebuchet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Identify areas of need for intensive support beyond specialty programs.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spacing w:after="0" w:before="200" w:lineRule="auto"/>
              <w:ind w:left="720" w:hanging="360"/>
              <w:rPr>
                <w:rFonts w:ascii="Trebuchet MS" w:cs="Trebuchet MS" w:eastAsia="Trebuchet MS" w:hAnsi="Trebuchet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Learning and Math Centers are initiating targeted workshops for students who were unsuccessful in their Fall 2019 entry-level English and math courses during the 2020 spring intersession.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spacing w:after="0" w:before="200" w:lineRule="auto"/>
              <w:ind w:left="720" w:hanging="360"/>
              <w:rPr>
                <w:rFonts w:ascii="Trebuchet MS" w:cs="Trebuchet MS" w:eastAsia="Trebuchet MS" w:hAnsi="Trebuchet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The anticipated launch of online tutoring through the Learning Center in 2020.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spacing w:after="0" w:before="200" w:lineRule="auto"/>
              <w:ind w:left="720" w:hanging="360"/>
              <w:rPr>
                <w:rFonts w:ascii="Trebuchet MS" w:cs="Trebuchet MS" w:eastAsia="Trebuchet MS" w:hAnsi="Trebuchet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Credit and noncredit instruction are collaborating to develop pathway to transition from non-credit ESL to credit level EMLS.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ind w:firstLine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5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ind w:firstLine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2b. Special supports are provided to help academically underprepared students to succeed in the "gateway" courses for the college's major program areas.</w:t>
            </w:r>
          </w:p>
          <w:p w:rsidR="00000000" w:rsidDel="00000000" w:rsidP="00000000" w:rsidRDefault="00000000" w:rsidRPr="00000000" w14:paraId="00000060">
            <w:pPr>
              <w:ind w:firstLine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ind w:firstLine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numPr>
                <w:ilvl w:val="0"/>
                <w:numId w:val="2"/>
              </w:numPr>
              <w:spacing w:before="200" w:lineRule="auto"/>
              <w:ind w:left="720" w:hanging="360"/>
              <w:rPr>
                <w:rFonts w:ascii="Trebuchet MS" w:cs="Trebuchet MS" w:eastAsia="Trebuchet MS" w:hAnsi="Trebuchet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Need to identify gateway courses for each program. Expand comprehensive tutoring services.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ind w:firstLine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Helvetica" w:cs="Helvetica" w:eastAsia="Helvetica" w:hAnsi="Helvetica"/>
          <w:sz w:val="28"/>
          <w:szCs w:val="28"/>
        </w:rPr>
      </w:pPr>
      <w:r w:rsidDel="00000000" w:rsidR="00000000" w:rsidRPr="00000000">
        <w:rPr>
          <w:rFonts w:ascii="Helvetica" w:cs="Helvetica" w:eastAsia="Helvetica" w:hAnsi="Helvetica"/>
          <w:b w:val="1"/>
          <w:sz w:val="28"/>
          <w:szCs w:val="28"/>
          <w:rtl w:val="0"/>
        </w:rPr>
        <w:t xml:space="preserve">Next steps </w:t>
      </w:r>
      <w:r w:rsidDel="00000000" w:rsidR="00000000" w:rsidRPr="00000000">
        <w:rPr>
          <w:rFonts w:ascii="Helvetica" w:cs="Helvetica" w:eastAsia="Helvetica" w:hAnsi="Helvetic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6">
      <w:pPr>
        <w:rPr>
          <w:rFonts w:ascii="Helvetica" w:cs="Helvetica" w:eastAsia="Helvetica" w:hAnsi="Helvetica"/>
          <w:sz w:val="24"/>
          <w:szCs w:val="24"/>
        </w:rPr>
      </w:pPr>
      <w:r w:rsidDel="00000000" w:rsidR="00000000" w:rsidRPr="00000000">
        <w:rPr>
          <w:rFonts w:ascii="Helvetica" w:cs="Helvetica" w:eastAsia="Helvetica" w:hAnsi="Helvetica"/>
          <w:sz w:val="24"/>
          <w:szCs w:val="24"/>
          <w:rtl w:val="0"/>
        </w:rPr>
        <w:t xml:space="preserve">What needs to happen next to make progress towards our goal(s)?  </w:t>
      </w:r>
    </w:p>
    <w:tbl>
      <w:tblPr>
        <w:tblStyle w:val="Table6"/>
        <w:tblW w:w="14370.0" w:type="dxa"/>
        <w:jc w:val="left"/>
        <w:tblInd w:w="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135"/>
        <w:gridCol w:w="105"/>
        <w:gridCol w:w="4230"/>
        <w:gridCol w:w="3900"/>
        <w:tblGridChange w:id="0">
          <w:tblGrid>
            <w:gridCol w:w="6135"/>
            <w:gridCol w:w="105"/>
            <w:gridCol w:w="4230"/>
            <w:gridCol w:w="3900"/>
          </w:tblGrid>
        </w:tblGridChange>
      </w:tblGrid>
      <w:tr>
        <w:trPr>
          <w:trHeight w:val="330" w:hRule="atLeast"/>
        </w:trPr>
        <w:tc>
          <w:tcPr>
            <w:tcBorders>
              <w:top w:color="5b9bd5" w:space="0" w:sz="6" w:val="single"/>
              <w:left w:color="5b9bd5" w:space="0" w:sz="6" w:val="single"/>
              <w:bottom w:color="000000" w:space="0" w:sz="6" w:val="single"/>
              <w:right w:color="5b9bd5" w:space="0" w:sz="6" w:val="single"/>
            </w:tcBorders>
            <w:shd w:fill="5b9bd5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Helvetica" w:cs="Helvetica" w:eastAsia="Helvetica" w:hAnsi="Helvetic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color w:val="ffffff"/>
                <w:sz w:val="24"/>
                <w:szCs w:val="24"/>
                <w:rtl w:val="0"/>
              </w:rPr>
              <w:t xml:space="preserve">What? </w:t>
            </w:r>
          </w:p>
        </w:tc>
        <w:tc>
          <w:tcPr>
            <w:tcBorders>
              <w:top w:color="5b9bd5" w:space="0" w:sz="6" w:val="single"/>
              <w:left w:color="5b9bd5" w:space="0" w:sz="6" w:val="single"/>
              <w:bottom w:color="000000" w:space="0" w:sz="6" w:val="single"/>
              <w:right w:color="5b9bd5" w:space="0" w:sz="6" w:val="single"/>
            </w:tcBorders>
            <w:shd w:fill="5b9bd5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9bd5" w:space="0" w:sz="6" w:val="single"/>
              <w:left w:color="5b9bd5" w:space="0" w:sz="6" w:val="single"/>
              <w:bottom w:color="000000" w:space="0" w:sz="6" w:val="single"/>
              <w:right w:color="5b9bd5" w:space="0" w:sz="6" w:val="single"/>
            </w:tcBorders>
            <w:shd w:fill="5b9bd5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Helvetica" w:cs="Helvetica" w:eastAsia="Helvetica" w:hAnsi="Helvetic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color w:val="ffffff"/>
                <w:sz w:val="24"/>
                <w:szCs w:val="24"/>
                <w:rtl w:val="0"/>
              </w:rPr>
              <w:t xml:space="preserve">Who? </w:t>
            </w:r>
          </w:p>
        </w:tc>
        <w:tc>
          <w:tcPr>
            <w:tcBorders>
              <w:top w:color="5b9bd5" w:space="0" w:sz="6" w:val="single"/>
              <w:left w:color="5b9bd5" w:space="0" w:sz="6" w:val="single"/>
              <w:bottom w:color="000000" w:space="0" w:sz="6" w:val="single"/>
              <w:right w:color="5b9bd5" w:space="0" w:sz="6" w:val="single"/>
            </w:tcBorders>
            <w:shd w:fill="5b9bd5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Helvetica" w:cs="Helvetica" w:eastAsia="Helvetica" w:hAnsi="Helvetic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color w:val="ffffff"/>
                <w:sz w:val="24"/>
                <w:szCs w:val="24"/>
                <w:rtl w:val="0"/>
              </w:rPr>
              <w:t xml:space="preserve">When? </w:t>
            </w:r>
          </w:p>
        </w:tc>
      </w:tr>
      <w:tr>
        <w:trPr>
          <w:trHeight w:val="51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Fonts w:ascii="Helvetica" w:cs="Helvetica" w:eastAsia="Helvetica" w:hAnsi="Helvetica"/>
                <w:sz w:val="24"/>
                <w:szCs w:val="24"/>
                <w:rtl w:val="0"/>
              </w:rPr>
              <w:t xml:space="preserve">Follow-up planning meeting </w:t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ind w:left="0" w:firstLine="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ind w:left="0" w:firstLine="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ind w:left="0" w:firstLine="0"/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eeaf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Helvetica" w:cs="Helvetica" w:eastAsia="Helvetica" w:hAnsi="Helveti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jc w:val="right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sz w:val="32"/>
        <w:szCs w:val="32"/>
        <w:rtl w:val="0"/>
      </w:rPr>
      <w:t xml:space="preserve"> </w:t>
    </w:r>
    <w:r w:rsidDel="00000000" w:rsidR="00000000" w:rsidRPr="00000000">
      <w:rPr>
        <w:rFonts w:ascii="EB Garamond" w:cs="EB Garamond" w:eastAsia="EB Garamond" w:hAnsi="EB Garamond"/>
        <w:color w:val="666666"/>
        <w:sz w:val="32"/>
        <w:szCs w:val="32"/>
        <w:rtl w:val="0"/>
      </w:rPr>
      <w:t xml:space="preserve">Santa Ana College Guided Pathways Forum              </w:t>
    </w:r>
    <w:r w:rsidDel="00000000" w:rsidR="00000000" w:rsidRPr="00000000">
      <w:rPr>
        <w:rFonts w:ascii="Helvetica" w:cs="Helvetica" w:eastAsia="Helvetica" w:hAnsi="Helvetica"/>
        <w:color w:val="666666"/>
        <w:sz w:val="32"/>
        <w:szCs w:val="32"/>
        <w:rtl w:val="0"/>
      </w:rPr>
      <w:t xml:space="preserve">                  </w:t>
    </w:r>
    <w:r w:rsidDel="00000000" w:rsidR="00000000" w:rsidRPr="00000000">
      <w:rPr>
        <w:rFonts w:ascii="Helvetica" w:cs="Helvetica" w:eastAsia="Helvetica" w:hAnsi="Helvetica"/>
        <w:b w:val="1"/>
        <w:sz w:val="36"/>
        <w:szCs w:val="36"/>
        <w:rtl w:val="0"/>
      </w:rPr>
      <w:t xml:space="preserve">         </w:t>
    </w:r>
    <w:r w:rsidDel="00000000" w:rsidR="00000000" w:rsidRPr="00000000">
      <w:rPr/>
      <w:drawing>
        <wp:inline distB="19050" distT="19050" distL="19050" distR="19050">
          <wp:extent cx="1276617" cy="38932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6617" cy="3893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</w:t>
    </w:r>
    <w:r w:rsidDel="00000000" w:rsidR="00000000" w:rsidRPr="00000000">
      <w:rPr/>
      <w:drawing>
        <wp:inline distB="19050" distT="19050" distL="19050" distR="19050">
          <wp:extent cx="1780382" cy="3429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0382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65C2D8C372265A469A6957A854FB8429" ma:contentTypeVersion="1" ma:contentTypeDescription="Upload an image." ma:contentTypeScope="" ma:versionID="17c7a8b425873db28a0051f4e2ab5407">
  <xsd:schema xmlns:xsd="http://www.w3.org/2001/XMLSchema" xmlns:xs="http://www.w3.org/2001/XMLSchema" xmlns:p="http://schemas.microsoft.com/office/2006/metadata/properties" xmlns:ns1="http://schemas.microsoft.com/sharepoint/v3" xmlns:ns2="DAC71E31-EABC-41AB-A5C9-F2A561E2DE42" xmlns:ns3="http://schemas.microsoft.com/sharepoint/v3/fields" xmlns:ns4="431189f8-a51b-453f-9f0c-3a0b3b65b12f" targetNamespace="http://schemas.microsoft.com/office/2006/metadata/properties" ma:root="true" ma:fieldsID="b1d0fef7ebc0aee946e8f853d244783d" ns1:_="" ns2:_="" ns3:_="" ns4:_="">
    <xsd:import namespace="http://schemas.microsoft.com/sharepoint/v3"/>
    <xsd:import namespace="DAC71E31-EABC-41AB-A5C9-F2A561E2DE42"/>
    <xsd:import namespace="http://schemas.microsoft.com/sharepoint/v3/fields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0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31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71E31-EABC-41AB-A5C9-F2A561E2DE4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DAC71E31-EABC-41AB-A5C9-F2A561E2DE42" xsi:nil="true"/>
    <wic_System_Copyright xmlns="http://schemas.microsoft.com/sharepoint/v3/fields" xsi:nil="true"/>
    <_dlc_DocId xmlns="431189f8-a51b-453f-9f0c-3a0b3b65b12f">HNYXMCCMVK3K-1256306429-33</_dlc_DocId>
    <_dlc_DocIdUrl xmlns="431189f8-a51b-453f-9f0c-3a0b3b65b12f">
      <Url>https://www.sac.edu/FacultyStaff/GuidedPathways/_layouts/15/DocIdRedir.aspx?ID=HNYXMCCMVK3K-1256306429-33</Url>
      <Description>HNYXMCCMVK3K-1256306429-33</Description>
    </_dlc_DocIdUrl>
  </documentManagement>
</p:properties>
</file>

<file path=customXml/itemProps1.xml><?xml version="1.0" encoding="utf-8"?>
<ds:datastoreItem xmlns:ds="http://schemas.openxmlformats.org/officeDocument/2006/customXml" ds:itemID="{1AC46CDC-45B1-42FE-A370-82E28D7FCDC2}"/>
</file>

<file path=customXml/itemProps2.xml><?xml version="1.0" encoding="utf-8"?>
<ds:datastoreItem xmlns:ds="http://schemas.openxmlformats.org/officeDocument/2006/customXml" ds:itemID="{F68BED64-B470-4BD5-A40B-63CD5C226A84}"/>
</file>

<file path=customXml/itemProps3.xml><?xml version="1.0" encoding="utf-8"?>
<ds:datastoreItem xmlns:ds="http://schemas.openxmlformats.org/officeDocument/2006/customXml" ds:itemID="{05F04B64-B046-4BFC-B566-344954173C8E}"/>
</file>

<file path=customXml/itemProps4.xml><?xml version="1.0" encoding="utf-8"?>
<ds:datastoreItem xmlns:ds="http://schemas.openxmlformats.org/officeDocument/2006/customXml" ds:itemID="{F145E719-0B51-4738-A2AE-84089F54DB84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0x0101009148F5A04DDD49CBA7127AADA5FB792B00AADE34325A8B49CDA8BB4DB53328F2140065C2D8C372265A469A6957A854FB8429</vt:lpwstr>
  </property>
  <property fmtid="{D5CDD505-2E9C-101B-9397-08002B2CF9AE}" pid="3" name="_dlc_DocIdItemGuid">
    <vt:lpwstr>35b95b64-1041-46c0-afeb-96dc6bde3970</vt:lpwstr>
  </property>
</Properties>
</file>